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0"/>
        <w:snapToGrid w:val="0"/>
        <w:ind w:firstLine="0" w:firstLineChars="0"/>
        <w:jc w:val="center"/>
        <w:outlineLvl w:val="0"/>
        <w:rPr>
          <w:rFonts w:ascii="黑体" w:hAnsi="黑体" w:eastAsia="黑体" w:cs="黑体"/>
          <w:sz w:val="36"/>
          <w:szCs w:val="36"/>
        </w:rPr>
      </w:pPr>
      <w:bookmarkStart w:id="0" w:name="_Toc29065"/>
      <w:bookmarkStart w:id="1" w:name="_Toc25722"/>
      <w:r>
        <w:rPr>
          <w:rFonts w:hint="eastAsia" w:ascii="黑体" w:hAnsi="黑体" w:eastAsia="黑体" w:cs="黑体"/>
          <w:sz w:val="36"/>
          <w:szCs w:val="36"/>
        </w:rPr>
        <w:t>第三章 评标办法(综合评估法)</w:t>
      </w:r>
      <w:bookmarkStart w:id="61" w:name="_GoBack"/>
      <w:bookmarkEnd w:id="61"/>
    </w:p>
    <w:p>
      <w:pPr>
        <w:pStyle w:val="60"/>
        <w:snapToGrid w:val="0"/>
        <w:ind w:firstLine="0" w:firstLineChars="0"/>
        <w:jc w:val="center"/>
        <w:outlineLvl w:val="0"/>
        <w:rPr>
          <w:rFonts w:ascii="黑体" w:hAnsi="黑体" w:eastAsia="黑体" w:cs="黑体"/>
          <w:sz w:val="36"/>
          <w:szCs w:val="36"/>
        </w:rPr>
      </w:pPr>
      <w:r>
        <w:rPr>
          <w:rFonts w:hint="eastAsia" w:ascii="黑体" w:hAnsi="黑体" w:eastAsia="黑体" w:cs="黑体"/>
          <w:sz w:val="36"/>
          <w:szCs w:val="36"/>
        </w:rPr>
        <w:t>（适用01标）</w:t>
      </w:r>
    </w:p>
    <w:p>
      <w:pPr>
        <w:pStyle w:val="5"/>
        <w:snapToGrid w:val="0"/>
        <w:spacing w:beforeLines="50" w:after="0" w:line="240" w:lineRule="auto"/>
        <w:rPr>
          <w:bCs w:val="0"/>
          <w:sz w:val="28"/>
          <w:szCs w:val="28"/>
        </w:rPr>
        <w:sectPr>
          <w:footerReference r:id="rId4" w:type="default"/>
          <w:footnotePr>
            <w:numFmt w:val="decimalEnclosedCircleChinese"/>
            <w:numRestart w:val="eachPage"/>
          </w:footnotePr>
          <w:type w:val="continuous"/>
          <w:pgSz w:w="11910" w:h="16840"/>
          <w:pgMar w:top="1134" w:right="1134" w:bottom="1134" w:left="1134" w:header="720" w:footer="720" w:gutter="0"/>
          <w:pgBorders>
            <w:top w:val="none" w:sz="0" w:space="0"/>
            <w:left w:val="none" w:sz="0" w:space="0"/>
            <w:bottom w:val="none" w:sz="0" w:space="0"/>
            <w:right w:val="none" w:sz="0" w:space="0"/>
          </w:pgBorders>
          <w:cols w:space="720" w:num="1"/>
        </w:sectPr>
      </w:pPr>
      <w:r>
        <w:rPr>
          <w:rFonts w:hint="eastAsia"/>
          <w:bCs w:val="0"/>
          <w:sz w:val="28"/>
          <w:szCs w:val="28"/>
        </w:rPr>
        <w:t>评标办法前附表</w:t>
      </w:r>
    </w:p>
    <w:tbl>
      <w:tblPr>
        <w:tblStyle w:val="37"/>
        <w:tblW w:w="9071"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941"/>
        <w:gridCol w:w="1182"/>
        <w:gridCol w:w="6948"/>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blHeader/>
          <w:jc w:val="center"/>
        </w:trPr>
        <w:tc>
          <w:tcPr>
            <w:tcW w:w="2123" w:type="dxa"/>
            <w:gridSpan w:val="2"/>
            <w:tcBorders>
              <w:tl2br w:val="nil"/>
              <w:tr2bl w:val="nil"/>
            </w:tcBorders>
          </w:tcPr>
          <w:p>
            <w:pPr>
              <w:spacing w:line="400" w:lineRule="atLeast"/>
              <w:jc w:val="center"/>
              <w:rPr>
                <w:rFonts w:ascii="宋体"/>
                <w:sz w:val="22"/>
                <w:szCs w:val="22"/>
              </w:rPr>
            </w:pPr>
            <w:r>
              <w:rPr>
                <w:rFonts w:hint="eastAsia" w:ascii="宋体" w:hAnsi="宋体"/>
                <w:sz w:val="22"/>
                <w:szCs w:val="22"/>
              </w:rPr>
              <w:t>条款号</w:t>
            </w:r>
          </w:p>
        </w:tc>
        <w:tc>
          <w:tcPr>
            <w:tcW w:w="6948" w:type="dxa"/>
            <w:tcBorders>
              <w:tl2br w:val="nil"/>
              <w:tr2bl w:val="nil"/>
            </w:tcBorders>
          </w:tcPr>
          <w:p>
            <w:pPr>
              <w:spacing w:line="400" w:lineRule="atLeast"/>
              <w:jc w:val="center"/>
              <w:rPr>
                <w:rFonts w:ascii="宋体"/>
                <w:sz w:val="22"/>
                <w:szCs w:val="22"/>
              </w:rPr>
            </w:pPr>
            <w:r>
              <w:rPr>
                <w:rFonts w:hint="eastAsia" w:ascii="宋体" w:hAnsi="宋体"/>
                <w:sz w:val="22"/>
                <w:szCs w:val="22"/>
              </w:rPr>
              <w:t>评审因素与评审标准</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941" w:type="dxa"/>
            <w:tcBorders>
              <w:tl2br w:val="nil"/>
              <w:tr2bl w:val="nil"/>
            </w:tcBorders>
            <w:vAlign w:val="center"/>
          </w:tcPr>
          <w:p>
            <w:pPr>
              <w:spacing w:line="440" w:lineRule="exact"/>
              <w:jc w:val="center"/>
              <w:rPr>
                <w:sz w:val="22"/>
                <w:szCs w:val="22"/>
              </w:rPr>
            </w:pPr>
            <w:r>
              <w:rPr>
                <w:rFonts w:hint="eastAsia"/>
                <w:sz w:val="22"/>
                <w:szCs w:val="22"/>
              </w:rPr>
              <w:t>1</w:t>
            </w:r>
          </w:p>
        </w:tc>
        <w:tc>
          <w:tcPr>
            <w:tcW w:w="1182" w:type="dxa"/>
            <w:tcBorders>
              <w:tl2br w:val="nil"/>
              <w:tr2bl w:val="nil"/>
            </w:tcBorders>
            <w:vAlign w:val="center"/>
          </w:tcPr>
          <w:p>
            <w:pPr>
              <w:jc w:val="center"/>
              <w:rPr>
                <w:sz w:val="22"/>
                <w:szCs w:val="22"/>
              </w:rPr>
            </w:pPr>
            <w:r>
              <w:rPr>
                <w:rFonts w:hint="eastAsia"/>
                <w:sz w:val="22"/>
                <w:szCs w:val="22"/>
              </w:rPr>
              <w:t>评标方法</w:t>
            </w:r>
          </w:p>
        </w:tc>
        <w:tc>
          <w:tcPr>
            <w:tcW w:w="6948" w:type="dxa"/>
            <w:tcBorders>
              <w:tl2br w:val="nil"/>
              <w:tr2bl w:val="nil"/>
            </w:tcBorders>
            <w:vAlign w:val="center"/>
          </w:tcPr>
          <w:p>
            <w:pPr>
              <w:snapToGrid w:val="0"/>
              <w:spacing w:line="288" w:lineRule="auto"/>
              <w:ind w:firstLine="440" w:firstLineChars="200"/>
              <w:rPr>
                <w:sz w:val="22"/>
                <w:szCs w:val="22"/>
              </w:rPr>
            </w:pPr>
            <w:r>
              <w:rPr>
                <w:sz w:val="22"/>
                <w:szCs w:val="22"/>
              </w:rPr>
              <w:t>评标委员会按</w:t>
            </w:r>
            <w:r>
              <w:rPr>
                <w:rFonts w:hint="eastAsia"/>
                <w:sz w:val="22"/>
                <w:szCs w:val="22"/>
              </w:rPr>
              <w:t>综合评分</w:t>
            </w:r>
            <w:r>
              <w:rPr>
                <w:sz w:val="22"/>
                <w:szCs w:val="22"/>
              </w:rPr>
              <w:t>由高到低顺序推荐中标候选人</w:t>
            </w:r>
            <w:r>
              <w:rPr>
                <w:rFonts w:hint="eastAsia"/>
                <w:sz w:val="22"/>
                <w:szCs w:val="22"/>
              </w:rPr>
              <w:t>，综合评分</w:t>
            </w:r>
            <w:r>
              <w:rPr>
                <w:sz w:val="22"/>
                <w:szCs w:val="22"/>
              </w:rPr>
              <w:t>相等时，</w:t>
            </w:r>
            <w:r>
              <w:rPr>
                <w:rFonts w:hint="eastAsia"/>
                <w:sz w:val="22"/>
                <w:szCs w:val="22"/>
              </w:rPr>
              <w:t>评标委员会依次按照以下优先顺序推荐中标候选人：</w:t>
            </w:r>
          </w:p>
          <w:p>
            <w:pPr>
              <w:snapToGrid w:val="0"/>
              <w:spacing w:line="288" w:lineRule="auto"/>
              <w:rPr>
                <w:sz w:val="22"/>
                <w:szCs w:val="22"/>
              </w:rPr>
            </w:pPr>
            <w:r>
              <w:rPr>
                <w:rFonts w:hint="eastAsia"/>
                <w:sz w:val="22"/>
                <w:szCs w:val="22"/>
              </w:rPr>
              <w:t>（1）评标价低的</w:t>
            </w:r>
            <w:r>
              <w:rPr>
                <w:sz w:val="22"/>
                <w:szCs w:val="22"/>
              </w:rPr>
              <w:t>投标人</w:t>
            </w:r>
            <w:r>
              <w:rPr>
                <w:rFonts w:hint="eastAsia"/>
                <w:sz w:val="22"/>
                <w:szCs w:val="22"/>
              </w:rPr>
              <w:t>优先；</w:t>
            </w:r>
          </w:p>
          <w:p>
            <w:pPr>
              <w:snapToGrid w:val="0"/>
              <w:spacing w:line="288" w:lineRule="auto"/>
              <w:rPr>
                <w:sz w:val="22"/>
                <w:szCs w:val="22"/>
              </w:rPr>
            </w:pPr>
            <w:r>
              <w:rPr>
                <w:rFonts w:hint="eastAsia"/>
                <w:sz w:val="22"/>
                <w:szCs w:val="22"/>
              </w:rPr>
              <w:t>（2）</w:t>
            </w:r>
            <w:r>
              <w:rPr>
                <w:sz w:val="22"/>
                <w:szCs w:val="22"/>
              </w:rPr>
              <w:t>被安徽省交通运输厅评为较高信用等级</w:t>
            </w:r>
            <w:r>
              <w:rPr>
                <w:rFonts w:hint="eastAsia"/>
                <w:sz w:val="22"/>
                <w:szCs w:val="22"/>
              </w:rPr>
              <w:t>（最新年度）</w:t>
            </w:r>
            <w:r>
              <w:rPr>
                <w:sz w:val="22"/>
                <w:szCs w:val="22"/>
              </w:rPr>
              <w:t>的投标人优先；</w:t>
            </w:r>
          </w:p>
          <w:p>
            <w:pPr>
              <w:snapToGrid w:val="0"/>
              <w:spacing w:line="288" w:lineRule="auto"/>
              <w:rPr>
                <w:sz w:val="22"/>
                <w:szCs w:val="22"/>
              </w:rPr>
            </w:pPr>
            <w:r>
              <w:rPr>
                <w:rFonts w:hint="eastAsia"/>
                <w:sz w:val="22"/>
                <w:szCs w:val="22"/>
              </w:rPr>
              <w:t>（3）</w:t>
            </w:r>
            <w:r>
              <w:rPr>
                <w:sz w:val="22"/>
                <w:szCs w:val="22"/>
              </w:rPr>
              <w:t>投标文件提供的业绩数量多</w:t>
            </w:r>
            <w:r>
              <w:rPr>
                <w:rFonts w:hint="eastAsia"/>
                <w:sz w:val="22"/>
                <w:szCs w:val="22"/>
              </w:rPr>
              <w:t>的</w:t>
            </w:r>
            <w:r>
              <w:rPr>
                <w:sz w:val="22"/>
                <w:szCs w:val="22"/>
              </w:rPr>
              <w:t>投标人优先</w:t>
            </w:r>
            <w:r>
              <w:rPr>
                <w:rFonts w:hint="eastAsia"/>
                <w:sz w:val="22"/>
                <w:szCs w:val="22"/>
              </w:rPr>
              <w:t>；</w:t>
            </w:r>
          </w:p>
          <w:p>
            <w:pPr>
              <w:snapToGrid w:val="0"/>
              <w:spacing w:line="288" w:lineRule="auto"/>
              <w:rPr>
                <w:sz w:val="22"/>
                <w:szCs w:val="22"/>
              </w:rPr>
            </w:pPr>
            <w:r>
              <w:rPr>
                <w:rFonts w:hint="eastAsia"/>
                <w:sz w:val="22"/>
                <w:szCs w:val="22"/>
              </w:rPr>
              <w:t>（4）</w:t>
            </w:r>
            <w:r>
              <w:rPr>
                <w:sz w:val="22"/>
                <w:szCs w:val="22"/>
              </w:rPr>
              <w:t>投标文件提供的</w:t>
            </w:r>
            <w:r>
              <w:rPr>
                <w:rFonts w:hint="eastAsia"/>
                <w:sz w:val="22"/>
                <w:szCs w:val="22"/>
              </w:rPr>
              <w:t>业绩累计合同金额</w:t>
            </w:r>
            <w:r>
              <w:rPr>
                <w:sz w:val="22"/>
                <w:szCs w:val="22"/>
              </w:rPr>
              <w:t>额大的投标人优先</w:t>
            </w:r>
            <w:r>
              <w:rPr>
                <w:rFonts w:hint="eastAsia"/>
                <w:sz w:val="22"/>
                <w:szCs w:val="22"/>
              </w:rPr>
              <w:t>。</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jc w:val="center"/>
        </w:trPr>
        <w:tc>
          <w:tcPr>
            <w:tcW w:w="941" w:type="dxa"/>
            <w:tcBorders>
              <w:tl2br w:val="nil"/>
              <w:tr2bl w:val="nil"/>
            </w:tcBorders>
            <w:vAlign w:val="center"/>
          </w:tcPr>
          <w:p>
            <w:pPr>
              <w:spacing w:line="400" w:lineRule="atLeast"/>
              <w:jc w:val="center"/>
              <w:rPr>
                <w:sz w:val="22"/>
                <w:szCs w:val="22"/>
              </w:rPr>
            </w:pPr>
            <w:r>
              <w:rPr>
                <w:sz w:val="22"/>
                <w:szCs w:val="22"/>
              </w:rPr>
              <w:t>2.1.1</w:t>
            </w:r>
          </w:p>
          <w:p>
            <w:pPr>
              <w:spacing w:line="400" w:lineRule="atLeast"/>
              <w:jc w:val="center"/>
              <w:rPr>
                <w:rFonts w:ascii="宋体" w:hAnsi="宋体"/>
                <w:sz w:val="22"/>
                <w:szCs w:val="22"/>
              </w:rPr>
            </w:pPr>
            <w:r>
              <w:rPr>
                <w:sz w:val="22"/>
                <w:szCs w:val="22"/>
              </w:rPr>
              <w:t>2.1.3</w:t>
            </w:r>
          </w:p>
        </w:tc>
        <w:tc>
          <w:tcPr>
            <w:tcW w:w="1182" w:type="dxa"/>
            <w:tcBorders>
              <w:tl2br w:val="nil"/>
              <w:tr2bl w:val="nil"/>
            </w:tcBorders>
            <w:vAlign w:val="center"/>
          </w:tcPr>
          <w:p>
            <w:pPr>
              <w:spacing w:line="400" w:lineRule="atLeast"/>
              <w:jc w:val="center"/>
              <w:rPr>
                <w:rFonts w:ascii="宋体" w:hAnsi="宋体"/>
                <w:sz w:val="22"/>
                <w:szCs w:val="22"/>
              </w:rPr>
            </w:pPr>
            <w:r>
              <w:rPr>
                <w:rFonts w:hint="eastAsia" w:ascii="宋体" w:hAnsi="宋体"/>
                <w:sz w:val="22"/>
                <w:szCs w:val="22"/>
              </w:rPr>
              <w:t>形式评审与响应性评审标准</w:t>
            </w:r>
          </w:p>
        </w:tc>
        <w:tc>
          <w:tcPr>
            <w:tcW w:w="6948" w:type="dxa"/>
            <w:tcBorders>
              <w:tl2br w:val="nil"/>
              <w:tr2bl w:val="nil"/>
            </w:tcBorders>
          </w:tcPr>
          <w:p>
            <w:pPr>
              <w:snapToGrid w:val="0"/>
              <w:spacing w:line="288" w:lineRule="auto"/>
              <w:rPr>
                <w:rFonts w:ascii="黑体" w:hAnsi="黑体" w:eastAsia="黑体"/>
                <w:sz w:val="22"/>
                <w:szCs w:val="22"/>
              </w:rPr>
            </w:pPr>
            <w:r>
              <w:rPr>
                <w:rFonts w:hint="eastAsia" w:ascii="黑体" w:hAnsi="黑体" w:eastAsia="黑体"/>
                <w:sz w:val="22"/>
                <w:szCs w:val="22"/>
              </w:rPr>
              <w:t>商务及技术文件</w:t>
            </w:r>
            <w:r>
              <w:rPr>
                <w:rFonts w:ascii="黑体" w:hAnsi="黑体" w:eastAsia="黑体"/>
                <w:sz w:val="22"/>
                <w:szCs w:val="22"/>
              </w:rPr>
              <w:t>评审标准</w:t>
            </w:r>
            <w:r>
              <w:rPr>
                <w:rFonts w:hint="eastAsia" w:ascii="黑体" w:hAnsi="黑体" w:eastAsia="黑体"/>
                <w:sz w:val="22"/>
                <w:szCs w:val="22"/>
              </w:rPr>
              <w:t>：</w:t>
            </w:r>
          </w:p>
          <w:p>
            <w:pPr>
              <w:adjustRightInd w:val="0"/>
              <w:snapToGrid w:val="0"/>
              <w:spacing w:line="288" w:lineRule="auto"/>
              <w:rPr>
                <w:sz w:val="22"/>
                <w:szCs w:val="22"/>
              </w:rPr>
            </w:pPr>
            <w:r>
              <w:rPr>
                <w:rFonts w:hint="eastAsia"/>
                <w:sz w:val="22"/>
                <w:szCs w:val="22"/>
              </w:rPr>
              <w:t>（1）投标文件按照招标文件规定的格式、内容填写，字迹清晰可辨：</w:t>
            </w:r>
          </w:p>
          <w:p>
            <w:pPr>
              <w:adjustRightInd w:val="0"/>
              <w:snapToGrid w:val="0"/>
              <w:spacing w:line="288" w:lineRule="auto"/>
              <w:ind w:firstLine="330" w:firstLineChars="150"/>
              <w:rPr>
                <w:sz w:val="22"/>
                <w:szCs w:val="22"/>
              </w:rPr>
            </w:pPr>
            <w:r>
              <w:rPr>
                <w:rFonts w:hint="eastAsia"/>
                <w:sz w:val="22"/>
                <w:szCs w:val="22"/>
              </w:rPr>
              <w:t>a.投标函按招标文件规定填报了招标人名称</w:t>
            </w:r>
            <w:r>
              <w:rPr>
                <w:rFonts w:hint="eastAsia"/>
                <w:b/>
                <w:bCs/>
                <w:sz w:val="22"/>
                <w:szCs w:val="22"/>
              </w:rPr>
              <w:t>、</w:t>
            </w:r>
            <w:r>
              <w:rPr>
                <w:rFonts w:hint="eastAsia"/>
                <w:sz w:val="22"/>
                <w:szCs w:val="22"/>
              </w:rPr>
              <w:t>项目名称、标段号、补遗书编号（如有）、服务期限、工程质量目标及安全目标；</w:t>
            </w:r>
          </w:p>
          <w:p>
            <w:pPr>
              <w:adjustRightInd w:val="0"/>
              <w:snapToGrid w:val="0"/>
              <w:spacing w:line="288" w:lineRule="auto"/>
              <w:ind w:firstLine="330" w:firstLineChars="150"/>
              <w:rPr>
                <w:sz w:val="22"/>
                <w:szCs w:val="22"/>
              </w:rPr>
            </w:pPr>
            <w:r>
              <w:rPr>
                <w:rFonts w:hint="eastAsia"/>
                <w:sz w:val="22"/>
                <w:szCs w:val="22"/>
              </w:rPr>
              <w:t>b.投标文件组成齐全完整，内容均按规定填写。</w:t>
            </w:r>
          </w:p>
          <w:p>
            <w:pPr>
              <w:adjustRightInd w:val="0"/>
              <w:snapToGrid w:val="0"/>
              <w:spacing w:line="288" w:lineRule="auto"/>
              <w:rPr>
                <w:sz w:val="22"/>
                <w:szCs w:val="22"/>
              </w:rPr>
            </w:pPr>
            <w:r>
              <w:rPr>
                <w:rFonts w:hint="eastAsia"/>
                <w:sz w:val="22"/>
                <w:szCs w:val="22"/>
              </w:rPr>
              <w:t>（2）投标文件上法定代表人或其授权代理人的签字、投标人的单位章盖章齐全，符合招标文件规定。</w:t>
            </w:r>
          </w:p>
          <w:p>
            <w:pPr>
              <w:adjustRightInd w:val="0"/>
              <w:snapToGrid w:val="0"/>
              <w:spacing w:line="288" w:lineRule="auto"/>
              <w:rPr>
                <w:sz w:val="22"/>
                <w:szCs w:val="22"/>
              </w:rPr>
            </w:pPr>
            <w:r>
              <w:rPr>
                <w:rFonts w:hint="eastAsia"/>
                <w:sz w:val="22"/>
                <w:szCs w:val="22"/>
              </w:rPr>
              <w:t>（3）投标人按照招标文件的规定提供了投标保证金：</w:t>
            </w:r>
          </w:p>
          <w:p>
            <w:pPr>
              <w:adjustRightInd w:val="0"/>
              <w:snapToGrid w:val="0"/>
              <w:spacing w:line="288" w:lineRule="auto"/>
              <w:ind w:firstLine="330" w:firstLineChars="150"/>
              <w:rPr>
                <w:sz w:val="22"/>
                <w:szCs w:val="22"/>
              </w:rPr>
            </w:pPr>
            <w:r>
              <w:rPr>
                <w:rFonts w:hint="eastAsia"/>
                <w:sz w:val="22"/>
                <w:szCs w:val="22"/>
              </w:rPr>
              <w:t>a.</w:t>
            </w:r>
            <w:r>
              <w:rPr>
                <w:sz w:val="22"/>
                <w:szCs w:val="22"/>
              </w:rPr>
              <w:t>投标保证金金额符合招标文件规定的金额，且投标保证金有效期不少于投标有效期</w:t>
            </w:r>
            <w:r>
              <w:rPr>
                <w:rFonts w:hint="eastAsia"/>
                <w:sz w:val="22"/>
                <w:szCs w:val="22"/>
              </w:rPr>
              <w:t>；</w:t>
            </w:r>
          </w:p>
          <w:p>
            <w:pPr>
              <w:adjustRightInd w:val="0"/>
              <w:snapToGrid w:val="0"/>
              <w:spacing w:line="288" w:lineRule="auto"/>
              <w:ind w:firstLine="330" w:firstLineChars="150"/>
              <w:rPr>
                <w:sz w:val="22"/>
                <w:szCs w:val="22"/>
              </w:rPr>
            </w:pPr>
            <w:r>
              <w:rPr>
                <w:rFonts w:hint="eastAsia"/>
                <w:sz w:val="22"/>
                <w:szCs w:val="22"/>
              </w:rPr>
              <w:t>b.</w:t>
            </w:r>
            <w:r>
              <w:rPr>
                <w:sz w:val="22"/>
                <w:szCs w:val="22"/>
              </w:rPr>
              <w:t>若投标保证金采用现金或支票形式提交，投标人应在</w:t>
            </w:r>
            <w:r>
              <w:rPr>
                <w:rFonts w:hint="eastAsia"/>
                <w:sz w:val="22"/>
                <w:szCs w:val="22"/>
              </w:rPr>
              <w:t>递交投标文件截止时间</w:t>
            </w:r>
            <w:r>
              <w:rPr>
                <w:sz w:val="22"/>
                <w:szCs w:val="22"/>
              </w:rPr>
              <w:t>之前，将投标保证金由投标人的基本账户转入</w:t>
            </w:r>
            <w:r>
              <w:rPr>
                <w:rFonts w:hint="eastAsia"/>
                <w:sz w:val="22"/>
                <w:szCs w:val="22"/>
              </w:rPr>
              <w:t>并到达</w:t>
            </w:r>
            <w:r>
              <w:rPr>
                <w:sz w:val="22"/>
                <w:szCs w:val="22"/>
              </w:rPr>
              <w:t>招标</w:t>
            </w:r>
            <w:r>
              <w:rPr>
                <w:rFonts w:hint="eastAsia"/>
                <w:sz w:val="22"/>
                <w:szCs w:val="22"/>
              </w:rPr>
              <w:t>文件</w:t>
            </w:r>
            <w:r>
              <w:rPr>
                <w:sz w:val="22"/>
                <w:szCs w:val="22"/>
              </w:rPr>
              <w:t>指定账户</w:t>
            </w:r>
            <w:r>
              <w:rPr>
                <w:rFonts w:hint="eastAsia"/>
                <w:sz w:val="22"/>
                <w:szCs w:val="22"/>
              </w:rPr>
              <w:t>；</w:t>
            </w:r>
          </w:p>
          <w:p>
            <w:pPr>
              <w:adjustRightInd w:val="0"/>
              <w:snapToGrid w:val="0"/>
              <w:spacing w:line="288" w:lineRule="auto"/>
              <w:ind w:firstLine="330" w:firstLineChars="150"/>
              <w:rPr>
                <w:sz w:val="22"/>
                <w:szCs w:val="22"/>
              </w:rPr>
            </w:pPr>
            <w:r>
              <w:rPr>
                <w:rFonts w:hint="eastAsia"/>
                <w:sz w:val="22"/>
                <w:szCs w:val="22"/>
              </w:rPr>
              <w:t>c.</w:t>
            </w:r>
            <w:r>
              <w:rPr>
                <w:sz w:val="22"/>
                <w:szCs w:val="22"/>
              </w:rPr>
              <w:t>若投标保证金采用银行保函形式提交，银行保函的格式、开具保函的银行均满足招标文件要求</w:t>
            </w:r>
            <w:r>
              <w:rPr>
                <w:rFonts w:hint="eastAsia" w:ascii="黑体" w:hAnsi="黑体" w:eastAsia="黑体" w:cs="黑体"/>
                <w:sz w:val="22"/>
                <w:szCs w:val="22"/>
              </w:rPr>
              <w:t>。</w:t>
            </w:r>
          </w:p>
          <w:p>
            <w:pPr>
              <w:adjustRightInd w:val="0"/>
              <w:snapToGrid w:val="0"/>
              <w:spacing w:line="288" w:lineRule="auto"/>
              <w:rPr>
                <w:sz w:val="22"/>
                <w:szCs w:val="22"/>
              </w:rPr>
            </w:pPr>
            <w:r>
              <w:rPr>
                <w:rFonts w:hint="eastAsia"/>
                <w:sz w:val="22"/>
                <w:szCs w:val="22"/>
              </w:rPr>
              <w:t>（4）</w:t>
            </w:r>
            <w:r>
              <w:rPr>
                <w:sz w:val="22"/>
                <w:szCs w:val="22"/>
              </w:rPr>
              <w:t>投标人法定代表人授权委托代理人签署投标文件的，</w:t>
            </w:r>
            <w:r>
              <w:rPr>
                <w:rFonts w:hint="eastAsia"/>
                <w:sz w:val="22"/>
                <w:szCs w:val="22"/>
              </w:rPr>
              <w:t>须</w:t>
            </w:r>
            <w:r>
              <w:rPr>
                <w:sz w:val="22"/>
                <w:szCs w:val="22"/>
              </w:rPr>
              <w:t>提交授权委托书，且授权人和被授权人均在授权委托书上签名</w:t>
            </w:r>
            <w:r>
              <w:rPr>
                <w:rFonts w:hint="eastAsia"/>
                <w:sz w:val="22"/>
                <w:szCs w:val="22"/>
              </w:rPr>
              <w:t>。</w:t>
            </w:r>
          </w:p>
          <w:p>
            <w:pPr>
              <w:adjustRightInd w:val="0"/>
              <w:snapToGrid w:val="0"/>
              <w:spacing w:line="288" w:lineRule="auto"/>
              <w:rPr>
                <w:sz w:val="22"/>
                <w:szCs w:val="22"/>
              </w:rPr>
            </w:pPr>
            <w:r>
              <w:rPr>
                <w:rFonts w:hint="eastAsia"/>
                <w:sz w:val="22"/>
                <w:szCs w:val="22"/>
              </w:rPr>
              <w:t>（5）</w:t>
            </w:r>
            <w:r>
              <w:rPr>
                <w:sz w:val="22"/>
                <w:szCs w:val="22"/>
              </w:rPr>
              <w:t>投标人法定代表人亲自签署投标文件的，提供了法定代表人身份证明，且法定代表人在法定代表人身份证明上签名</w:t>
            </w:r>
            <w:r>
              <w:rPr>
                <w:rFonts w:hint="eastAsia"/>
                <w:sz w:val="22"/>
                <w:szCs w:val="22"/>
              </w:rPr>
              <w:t>。</w:t>
            </w:r>
          </w:p>
          <w:p>
            <w:pPr>
              <w:adjustRightInd w:val="0"/>
              <w:snapToGrid w:val="0"/>
              <w:spacing w:line="288" w:lineRule="auto"/>
              <w:rPr>
                <w:sz w:val="22"/>
                <w:szCs w:val="22"/>
              </w:rPr>
            </w:pPr>
            <w:r>
              <w:rPr>
                <w:rFonts w:hint="eastAsia"/>
                <w:sz w:val="22"/>
                <w:szCs w:val="22"/>
              </w:rPr>
              <w:t>（6）本项目不接受联合体投标。</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941" w:type="dxa"/>
            <w:tcBorders>
              <w:tl2br w:val="nil"/>
              <w:tr2bl w:val="nil"/>
            </w:tcBorders>
            <w:vAlign w:val="center"/>
          </w:tcPr>
          <w:p>
            <w:pPr>
              <w:spacing w:line="400" w:lineRule="atLeast"/>
              <w:jc w:val="center"/>
              <w:rPr>
                <w:sz w:val="22"/>
                <w:szCs w:val="22"/>
              </w:rPr>
            </w:pPr>
            <w:r>
              <w:rPr>
                <w:sz w:val="22"/>
                <w:szCs w:val="22"/>
              </w:rPr>
              <w:t>2.1.1</w:t>
            </w:r>
          </w:p>
          <w:p>
            <w:pPr>
              <w:spacing w:line="400" w:lineRule="atLeast"/>
              <w:jc w:val="center"/>
              <w:rPr>
                <w:rFonts w:ascii="宋体" w:hAnsi="宋体"/>
                <w:sz w:val="22"/>
                <w:szCs w:val="22"/>
              </w:rPr>
            </w:pPr>
            <w:r>
              <w:rPr>
                <w:sz w:val="22"/>
                <w:szCs w:val="22"/>
              </w:rPr>
              <w:t>2.1.3</w:t>
            </w:r>
          </w:p>
        </w:tc>
        <w:tc>
          <w:tcPr>
            <w:tcW w:w="1182" w:type="dxa"/>
            <w:tcBorders>
              <w:tl2br w:val="nil"/>
              <w:tr2bl w:val="nil"/>
            </w:tcBorders>
            <w:vAlign w:val="center"/>
          </w:tcPr>
          <w:p>
            <w:pPr>
              <w:spacing w:line="400" w:lineRule="atLeast"/>
              <w:jc w:val="center"/>
              <w:rPr>
                <w:rFonts w:ascii="宋体" w:hAnsi="宋体"/>
                <w:sz w:val="22"/>
                <w:szCs w:val="22"/>
              </w:rPr>
            </w:pPr>
            <w:r>
              <w:rPr>
                <w:rFonts w:hint="eastAsia" w:ascii="宋体" w:hAnsi="宋体"/>
                <w:sz w:val="22"/>
                <w:szCs w:val="22"/>
              </w:rPr>
              <w:t>形式评审与响应性评审标准</w:t>
            </w:r>
          </w:p>
        </w:tc>
        <w:tc>
          <w:tcPr>
            <w:tcW w:w="6948" w:type="dxa"/>
            <w:tcBorders>
              <w:tl2br w:val="nil"/>
              <w:tr2bl w:val="nil"/>
            </w:tcBorders>
          </w:tcPr>
          <w:p>
            <w:pPr>
              <w:adjustRightInd w:val="0"/>
              <w:snapToGrid w:val="0"/>
              <w:spacing w:line="288" w:lineRule="auto"/>
              <w:rPr>
                <w:sz w:val="22"/>
                <w:szCs w:val="22"/>
              </w:rPr>
            </w:pPr>
            <w:r>
              <w:rPr>
                <w:rFonts w:hint="eastAsia"/>
                <w:sz w:val="22"/>
                <w:szCs w:val="22"/>
              </w:rPr>
              <w:t>（7）投标人如有分包计划，</w:t>
            </w:r>
            <w:r>
              <w:rPr>
                <w:sz w:val="22"/>
                <w:szCs w:val="22"/>
              </w:rPr>
              <w:t>符合招标文件</w:t>
            </w:r>
            <w:r>
              <w:rPr>
                <w:rFonts w:hint="eastAsia"/>
                <w:sz w:val="22"/>
                <w:szCs w:val="22"/>
              </w:rPr>
              <w:t>第二章“投标人须知”第1.11款</w:t>
            </w:r>
            <w:r>
              <w:rPr>
                <w:sz w:val="22"/>
                <w:szCs w:val="22"/>
              </w:rPr>
              <w:t>规定，且按招标文件第</w:t>
            </w:r>
            <w:r>
              <w:rPr>
                <w:rFonts w:hint="eastAsia"/>
                <w:sz w:val="22"/>
                <w:szCs w:val="22"/>
              </w:rPr>
              <w:t>六章“投标文件格式”的要求填写了“拟分包项目情况表”。</w:t>
            </w:r>
          </w:p>
          <w:p>
            <w:pPr>
              <w:adjustRightInd w:val="0"/>
              <w:snapToGrid w:val="0"/>
              <w:spacing w:line="288" w:lineRule="auto"/>
              <w:rPr>
                <w:sz w:val="22"/>
                <w:szCs w:val="22"/>
              </w:rPr>
            </w:pPr>
            <w:r>
              <w:rPr>
                <w:rFonts w:hint="eastAsia"/>
                <w:sz w:val="22"/>
                <w:szCs w:val="22"/>
              </w:rPr>
              <w:t>（8）同一投标人未提交两个以上不同的投标文件。</w:t>
            </w:r>
          </w:p>
          <w:p>
            <w:pPr>
              <w:adjustRightInd w:val="0"/>
              <w:snapToGrid w:val="0"/>
              <w:spacing w:line="288" w:lineRule="auto"/>
              <w:rPr>
                <w:sz w:val="22"/>
                <w:szCs w:val="22"/>
              </w:rPr>
            </w:pPr>
            <w:r>
              <w:rPr>
                <w:rFonts w:hint="eastAsia"/>
                <w:sz w:val="22"/>
                <w:szCs w:val="22"/>
              </w:rPr>
              <w:t>（9）投标文件（包括电子版文件）中未出现有关投标报价的内容。</w:t>
            </w:r>
          </w:p>
          <w:p>
            <w:pPr>
              <w:adjustRightInd w:val="0"/>
              <w:snapToGrid w:val="0"/>
              <w:spacing w:line="288" w:lineRule="auto"/>
              <w:rPr>
                <w:sz w:val="22"/>
                <w:szCs w:val="22"/>
              </w:rPr>
            </w:pPr>
            <w:r>
              <w:rPr>
                <w:rFonts w:hint="eastAsia"/>
                <w:sz w:val="22"/>
                <w:szCs w:val="22"/>
              </w:rPr>
              <w:t>（10）</w:t>
            </w:r>
            <w:r>
              <w:rPr>
                <w:sz w:val="22"/>
                <w:szCs w:val="22"/>
              </w:rPr>
              <w:t>投标文件载明的招标项目完成期限未超过招标文件规定的时限</w:t>
            </w:r>
            <w:r>
              <w:rPr>
                <w:rFonts w:hint="eastAsia"/>
                <w:sz w:val="22"/>
                <w:szCs w:val="22"/>
              </w:rPr>
              <w:t>。</w:t>
            </w:r>
          </w:p>
          <w:p>
            <w:pPr>
              <w:adjustRightInd w:val="0"/>
              <w:snapToGrid w:val="0"/>
              <w:spacing w:line="288" w:lineRule="auto"/>
              <w:rPr>
                <w:sz w:val="22"/>
                <w:szCs w:val="22"/>
              </w:rPr>
            </w:pPr>
            <w:r>
              <w:rPr>
                <w:rFonts w:hint="eastAsia"/>
                <w:sz w:val="22"/>
                <w:szCs w:val="22"/>
              </w:rPr>
              <w:t>（11）</w:t>
            </w:r>
            <w:r>
              <w:rPr>
                <w:sz w:val="22"/>
                <w:szCs w:val="22"/>
              </w:rPr>
              <w:t>投标文件对招标文件的实质性要求和条件作出响应</w:t>
            </w:r>
            <w:r>
              <w:rPr>
                <w:rFonts w:hint="eastAsia"/>
                <w:sz w:val="22"/>
                <w:szCs w:val="22"/>
              </w:rPr>
              <w:t>。</w:t>
            </w:r>
          </w:p>
          <w:p>
            <w:pPr>
              <w:adjustRightInd w:val="0"/>
              <w:snapToGrid w:val="0"/>
              <w:spacing w:line="288" w:lineRule="auto"/>
              <w:rPr>
                <w:sz w:val="22"/>
                <w:szCs w:val="22"/>
              </w:rPr>
            </w:pPr>
            <w:r>
              <w:rPr>
                <w:rFonts w:hint="eastAsia"/>
                <w:sz w:val="22"/>
                <w:szCs w:val="22"/>
              </w:rPr>
              <w:t>（12）权利义务符合招标文件规定：</w:t>
            </w:r>
          </w:p>
          <w:p>
            <w:pPr>
              <w:snapToGrid w:val="0"/>
              <w:spacing w:line="288" w:lineRule="auto"/>
              <w:ind w:left="113" w:right="113" w:firstLine="220" w:firstLineChars="100"/>
              <w:rPr>
                <w:sz w:val="22"/>
                <w:szCs w:val="22"/>
              </w:rPr>
            </w:pPr>
            <w:r>
              <w:rPr>
                <w:sz w:val="22"/>
                <w:szCs w:val="22"/>
              </w:rPr>
              <w:t>a.投标人应接受招标文件规定的风险划分原则，未提出新的风险划分办法；</w:t>
            </w:r>
          </w:p>
          <w:p>
            <w:pPr>
              <w:snapToGrid w:val="0"/>
              <w:spacing w:line="288" w:lineRule="auto"/>
              <w:ind w:left="113" w:right="113" w:firstLine="220" w:firstLineChars="100"/>
              <w:rPr>
                <w:sz w:val="22"/>
                <w:szCs w:val="22"/>
              </w:rPr>
            </w:pPr>
            <w:r>
              <w:rPr>
                <w:sz w:val="22"/>
                <w:szCs w:val="22"/>
              </w:rPr>
              <w:t>b.投标人未增加发包人的责任范围，或减少投标人义务；</w:t>
            </w:r>
          </w:p>
          <w:p>
            <w:pPr>
              <w:snapToGrid w:val="0"/>
              <w:spacing w:line="288" w:lineRule="auto"/>
              <w:ind w:left="113" w:right="113" w:firstLine="220" w:firstLineChars="100"/>
              <w:rPr>
                <w:sz w:val="22"/>
                <w:szCs w:val="22"/>
              </w:rPr>
            </w:pPr>
            <w:r>
              <w:rPr>
                <w:sz w:val="22"/>
                <w:szCs w:val="22"/>
              </w:rPr>
              <w:t>c.投标人未提出不同的支付办法；</w:t>
            </w:r>
          </w:p>
          <w:p>
            <w:pPr>
              <w:snapToGrid w:val="0"/>
              <w:spacing w:line="288" w:lineRule="auto"/>
              <w:ind w:left="113" w:right="113" w:firstLine="220" w:firstLineChars="100"/>
              <w:rPr>
                <w:sz w:val="22"/>
                <w:szCs w:val="22"/>
              </w:rPr>
            </w:pPr>
            <w:r>
              <w:rPr>
                <w:sz w:val="22"/>
                <w:szCs w:val="22"/>
              </w:rPr>
              <w:t>d.投标人对合同纠纷、事故处理办法未提出异议；</w:t>
            </w:r>
          </w:p>
          <w:p>
            <w:pPr>
              <w:snapToGrid w:val="0"/>
              <w:spacing w:line="288" w:lineRule="auto"/>
              <w:ind w:left="113" w:right="113" w:firstLine="220" w:firstLineChars="100"/>
              <w:rPr>
                <w:sz w:val="22"/>
                <w:szCs w:val="22"/>
              </w:rPr>
            </w:pPr>
            <w:r>
              <w:rPr>
                <w:sz w:val="22"/>
                <w:szCs w:val="22"/>
              </w:rPr>
              <w:t>e.投标人在投标活动中无欺诈行为；</w:t>
            </w:r>
          </w:p>
          <w:p>
            <w:pPr>
              <w:adjustRightInd w:val="0"/>
              <w:snapToGrid w:val="0"/>
              <w:spacing w:line="288" w:lineRule="auto"/>
              <w:ind w:firstLine="330" w:firstLineChars="150"/>
              <w:rPr>
                <w:sz w:val="22"/>
                <w:szCs w:val="22"/>
              </w:rPr>
            </w:pPr>
            <w:r>
              <w:rPr>
                <w:sz w:val="22"/>
                <w:szCs w:val="22"/>
              </w:rPr>
              <w:t>f.投标人未对合同条款有重要保留。</w:t>
            </w:r>
          </w:p>
          <w:p>
            <w:pPr>
              <w:adjustRightInd w:val="0"/>
              <w:snapToGrid w:val="0"/>
              <w:spacing w:line="288" w:lineRule="auto"/>
              <w:rPr>
                <w:rFonts w:ascii="宋体" w:hAnsi="宋体" w:cs="宋体"/>
                <w:b/>
                <w:bCs/>
                <w:szCs w:val="21"/>
              </w:rPr>
            </w:pPr>
            <w:r>
              <w:rPr>
                <w:rFonts w:hint="eastAsia"/>
                <w:sz w:val="22"/>
                <w:szCs w:val="22"/>
              </w:rPr>
              <w:t>（13）</w:t>
            </w:r>
            <w:r>
              <w:rPr>
                <w:rFonts w:hint="eastAsia" w:ascii="宋体" w:hAnsi="宋体" w:cs="宋体"/>
                <w:b/>
                <w:bCs/>
                <w:szCs w:val="21"/>
              </w:rPr>
              <w:t>投标人网上购买招标文件的标段、投标保证金提交的标段和投标文件所投标段一致。</w:t>
            </w:r>
          </w:p>
          <w:p>
            <w:pPr>
              <w:pStyle w:val="36"/>
              <w:ind w:left="0" w:leftChars="0" w:firstLine="0" w:firstLineChars="0"/>
            </w:pPr>
            <w:r>
              <w:rPr>
                <w:rFonts w:hint="eastAsia"/>
              </w:rPr>
              <w:t>（14）投标人对其信誉情况的承诺与事实相符。</w:t>
            </w:r>
          </w:p>
          <w:p>
            <w:pPr>
              <w:snapToGrid w:val="0"/>
              <w:spacing w:line="288" w:lineRule="auto"/>
              <w:jc w:val="left"/>
              <w:rPr>
                <w:sz w:val="22"/>
                <w:szCs w:val="22"/>
              </w:rPr>
            </w:pPr>
            <w:r>
              <w:rPr>
                <w:rFonts w:hint="eastAsia"/>
                <w:sz w:val="22"/>
                <w:szCs w:val="22"/>
              </w:rPr>
              <w:t>（15）投标文件未附有招标人不能接受的条件。</w:t>
            </w:r>
          </w:p>
          <w:p>
            <w:pPr>
              <w:snapToGrid w:val="0"/>
              <w:spacing w:line="288" w:lineRule="auto"/>
              <w:jc w:val="left"/>
              <w:rPr>
                <w:sz w:val="22"/>
                <w:szCs w:val="22"/>
              </w:rPr>
            </w:pPr>
          </w:p>
          <w:p>
            <w:pPr>
              <w:snapToGrid w:val="0"/>
              <w:spacing w:line="288" w:lineRule="auto"/>
              <w:rPr>
                <w:rFonts w:ascii="黑体" w:hAnsi="黑体" w:eastAsia="黑体"/>
                <w:sz w:val="22"/>
                <w:szCs w:val="22"/>
              </w:rPr>
            </w:pPr>
            <w:r>
              <w:rPr>
                <w:rFonts w:hint="eastAsia" w:ascii="黑体" w:hAnsi="黑体" w:eastAsia="黑体"/>
                <w:sz w:val="22"/>
                <w:szCs w:val="22"/>
              </w:rPr>
              <w:t>报价文件评审标准：</w:t>
            </w:r>
          </w:p>
          <w:p>
            <w:pPr>
              <w:snapToGrid w:val="0"/>
              <w:spacing w:line="288" w:lineRule="auto"/>
              <w:rPr>
                <w:sz w:val="22"/>
                <w:szCs w:val="22"/>
              </w:rPr>
            </w:pPr>
            <w:r>
              <w:rPr>
                <w:rFonts w:hint="eastAsia"/>
                <w:sz w:val="22"/>
                <w:szCs w:val="22"/>
              </w:rPr>
              <w:t>（1）投标</w:t>
            </w:r>
            <w:r>
              <w:rPr>
                <w:sz w:val="22"/>
                <w:szCs w:val="22"/>
              </w:rPr>
              <w:t>文件按照招标文件规定的格式、内容填写，字迹清晰可辨</w:t>
            </w:r>
            <w:r>
              <w:rPr>
                <w:rFonts w:hint="eastAsia"/>
                <w:sz w:val="22"/>
                <w:szCs w:val="22"/>
              </w:rPr>
              <w:t>，内容齐全完整</w:t>
            </w:r>
            <w:r>
              <w:rPr>
                <w:sz w:val="22"/>
                <w:szCs w:val="22"/>
              </w:rPr>
              <w:t>：</w:t>
            </w:r>
          </w:p>
          <w:p>
            <w:pPr>
              <w:adjustRightInd w:val="0"/>
              <w:snapToGrid w:val="0"/>
              <w:spacing w:line="288" w:lineRule="auto"/>
              <w:ind w:firstLine="440" w:firstLineChars="200"/>
              <w:rPr>
                <w:sz w:val="22"/>
                <w:szCs w:val="22"/>
              </w:rPr>
            </w:pPr>
            <w:r>
              <w:rPr>
                <w:rFonts w:hint="eastAsia"/>
                <w:sz w:val="22"/>
                <w:szCs w:val="22"/>
              </w:rPr>
              <w:t>a.</w:t>
            </w:r>
            <w:r>
              <w:rPr>
                <w:sz w:val="22"/>
                <w:szCs w:val="22"/>
              </w:rPr>
              <w:t>.投标函按招标文件规定填报了招标人名称、项目名称、标段号、补遗书编号（如有）、投标价（包括大写金额和小写金额）</w:t>
            </w:r>
            <w:r>
              <w:rPr>
                <w:rFonts w:hint="eastAsia"/>
                <w:sz w:val="22"/>
                <w:szCs w:val="22"/>
              </w:rPr>
              <w:t>；</w:t>
            </w:r>
          </w:p>
          <w:p>
            <w:pPr>
              <w:adjustRightInd w:val="0"/>
              <w:snapToGrid w:val="0"/>
              <w:spacing w:line="288" w:lineRule="auto"/>
              <w:ind w:firstLine="440" w:firstLineChars="200"/>
              <w:rPr>
                <w:sz w:val="22"/>
                <w:szCs w:val="22"/>
              </w:rPr>
            </w:pPr>
            <w:r>
              <w:rPr>
                <w:rFonts w:hint="eastAsia"/>
                <w:sz w:val="22"/>
                <w:szCs w:val="22"/>
              </w:rPr>
              <w:t>b.报价</w:t>
            </w:r>
            <w:r>
              <w:rPr>
                <w:sz w:val="22"/>
                <w:szCs w:val="22"/>
              </w:rPr>
              <w:t>清单说明文字与招标文件规定一致，未进行实质性修改和删减；</w:t>
            </w:r>
          </w:p>
          <w:p>
            <w:pPr>
              <w:adjustRightInd w:val="0"/>
              <w:snapToGrid w:val="0"/>
              <w:spacing w:line="288" w:lineRule="auto"/>
              <w:ind w:firstLine="440" w:firstLineChars="200"/>
              <w:rPr>
                <w:sz w:val="22"/>
                <w:szCs w:val="22"/>
              </w:rPr>
            </w:pPr>
            <w:r>
              <w:rPr>
                <w:rFonts w:hint="eastAsia" w:eastAsia="黑体"/>
                <w:sz w:val="22"/>
                <w:szCs w:val="22"/>
              </w:rPr>
              <w:t>c.</w:t>
            </w:r>
            <w:r>
              <w:rPr>
                <w:rFonts w:hint="eastAsia"/>
                <w:sz w:val="22"/>
                <w:szCs w:val="22"/>
              </w:rPr>
              <w:t>投标文件组成齐全完整（包括报价清单各项表格）</w:t>
            </w:r>
            <w:r>
              <w:rPr>
                <w:sz w:val="22"/>
                <w:szCs w:val="22"/>
              </w:rPr>
              <w:t>，</w:t>
            </w:r>
            <w:r>
              <w:rPr>
                <w:rFonts w:hint="eastAsia"/>
                <w:sz w:val="22"/>
                <w:szCs w:val="22"/>
              </w:rPr>
              <w:t>内容均按规定填写。</w:t>
            </w:r>
          </w:p>
          <w:p>
            <w:pPr>
              <w:snapToGrid w:val="0"/>
              <w:spacing w:line="288" w:lineRule="auto"/>
              <w:rPr>
                <w:sz w:val="22"/>
                <w:szCs w:val="22"/>
              </w:rPr>
            </w:pPr>
            <w:r>
              <w:rPr>
                <w:rFonts w:hint="eastAsia"/>
                <w:sz w:val="22"/>
                <w:szCs w:val="22"/>
              </w:rPr>
              <w:t>（2）报价</w:t>
            </w:r>
            <w:r>
              <w:rPr>
                <w:sz w:val="22"/>
                <w:szCs w:val="22"/>
              </w:rPr>
              <w:t>文件上法定代表人或其授权代理人的签字、投标人的单位章盖章齐全，符合招标文件规定。</w:t>
            </w:r>
          </w:p>
          <w:p>
            <w:pPr>
              <w:snapToGrid w:val="0"/>
              <w:spacing w:line="288" w:lineRule="auto"/>
              <w:rPr>
                <w:sz w:val="22"/>
                <w:szCs w:val="22"/>
              </w:rPr>
            </w:pPr>
            <w:r>
              <w:rPr>
                <w:rFonts w:hint="eastAsia"/>
                <w:sz w:val="22"/>
                <w:szCs w:val="22"/>
              </w:rPr>
              <w:t>（3）投标报价未超过招标文件设定的最高投标限价（如有）。</w:t>
            </w:r>
          </w:p>
          <w:p>
            <w:pPr>
              <w:snapToGrid w:val="0"/>
              <w:spacing w:line="288" w:lineRule="auto"/>
              <w:rPr>
                <w:sz w:val="22"/>
                <w:szCs w:val="22"/>
              </w:rPr>
            </w:pPr>
            <w:r>
              <w:rPr>
                <w:rFonts w:hint="eastAsia"/>
                <w:sz w:val="22"/>
                <w:szCs w:val="22"/>
              </w:rPr>
              <w:t>（4）投标报价的大写金额能够确定具体数值。</w:t>
            </w:r>
          </w:p>
          <w:p>
            <w:pPr>
              <w:snapToGrid w:val="0"/>
              <w:spacing w:line="288" w:lineRule="auto"/>
              <w:rPr>
                <w:sz w:val="22"/>
                <w:szCs w:val="22"/>
              </w:rPr>
            </w:pPr>
            <w:r>
              <w:rPr>
                <w:rFonts w:hint="eastAsia"/>
                <w:sz w:val="22"/>
                <w:szCs w:val="22"/>
              </w:rPr>
              <w:t>（5）</w:t>
            </w:r>
            <w:r>
              <w:rPr>
                <w:sz w:val="22"/>
                <w:szCs w:val="22"/>
              </w:rPr>
              <w:t>同一投标人未提交两个以上不同的投标报价</w:t>
            </w:r>
            <w:r>
              <w:rPr>
                <w:rFonts w:hint="eastAsia"/>
                <w:sz w:val="22"/>
                <w:szCs w:val="22"/>
              </w:rPr>
              <w:t>。</w:t>
            </w:r>
          </w:p>
          <w:p>
            <w:pPr>
              <w:adjustRightInd w:val="0"/>
              <w:snapToGrid w:val="0"/>
              <w:spacing w:line="288" w:lineRule="auto"/>
              <w:rPr>
                <w:sz w:val="22"/>
                <w:szCs w:val="22"/>
              </w:rPr>
            </w:pPr>
            <w:r>
              <w:rPr>
                <w:rFonts w:hint="eastAsia"/>
                <w:sz w:val="22"/>
                <w:szCs w:val="22"/>
              </w:rPr>
              <w:t>（6）未附有招标人不能接受的条件。</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23" w:hRule="atLeast"/>
          <w:jc w:val="center"/>
        </w:trPr>
        <w:tc>
          <w:tcPr>
            <w:tcW w:w="941" w:type="dxa"/>
            <w:tcBorders>
              <w:tl2br w:val="nil"/>
              <w:tr2bl w:val="nil"/>
            </w:tcBorders>
            <w:vAlign w:val="center"/>
          </w:tcPr>
          <w:p>
            <w:pPr>
              <w:snapToGrid w:val="0"/>
              <w:spacing w:line="288" w:lineRule="auto"/>
              <w:jc w:val="center"/>
              <w:rPr>
                <w:sz w:val="22"/>
                <w:szCs w:val="22"/>
              </w:rPr>
            </w:pPr>
            <w:r>
              <w:rPr>
                <w:sz w:val="22"/>
                <w:szCs w:val="22"/>
              </w:rPr>
              <w:t>2.1.2</w:t>
            </w:r>
          </w:p>
        </w:tc>
        <w:tc>
          <w:tcPr>
            <w:tcW w:w="1182" w:type="dxa"/>
            <w:tcBorders>
              <w:tl2br w:val="nil"/>
              <w:tr2bl w:val="nil"/>
            </w:tcBorders>
            <w:vAlign w:val="center"/>
          </w:tcPr>
          <w:p>
            <w:pPr>
              <w:snapToGrid w:val="0"/>
              <w:spacing w:line="288" w:lineRule="auto"/>
              <w:jc w:val="center"/>
              <w:rPr>
                <w:sz w:val="22"/>
                <w:szCs w:val="22"/>
              </w:rPr>
            </w:pPr>
            <w:r>
              <w:rPr>
                <w:sz w:val="22"/>
                <w:szCs w:val="22"/>
              </w:rPr>
              <w:t>资格评审标准</w:t>
            </w:r>
          </w:p>
        </w:tc>
        <w:tc>
          <w:tcPr>
            <w:tcW w:w="6948" w:type="dxa"/>
            <w:tcBorders>
              <w:tl2br w:val="nil"/>
              <w:tr2bl w:val="nil"/>
            </w:tcBorders>
          </w:tcPr>
          <w:p>
            <w:pPr>
              <w:adjustRightInd w:val="0"/>
              <w:snapToGrid w:val="0"/>
              <w:spacing w:line="288" w:lineRule="auto"/>
              <w:rPr>
                <w:sz w:val="22"/>
                <w:szCs w:val="22"/>
              </w:rPr>
            </w:pPr>
            <w:r>
              <w:rPr>
                <w:rFonts w:hint="eastAsia"/>
                <w:sz w:val="22"/>
                <w:szCs w:val="22"/>
              </w:rPr>
              <w:t>（1）</w:t>
            </w:r>
            <w:r>
              <w:rPr>
                <w:sz w:val="22"/>
                <w:szCs w:val="22"/>
              </w:rPr>
              <w:t>投标人具备有效的营业执照、组织机构代码证、勘察资质证书、设计资质证书；</w:t>
            </w:r>
          </w:p>
          <w:p>
            <w:pPr>
              <w:snapToGrid w:val="0"/>
              <w:spacing w:line="288" w:lineRule="auto"/>
              <w:jc w:val="left"/>
              <w:rPr>
                <w:sz w:val="22"/>
                <w:szCs w:val="22"/>
              </w:rPr>
            </w:pPr>
            <w:r>
              <w:rPr>
                <w:rFonts w:hint="eastAsia"/>
                <w:sz w:val="22"/>
                <w:szCs w:val="22"/>
              </w:rPr>
              <w:t>（2）</w:t>
            </w:r>
            <w:r>
              <w:rPr>
                <w:sz w:val="22"/>
                <w:szCs w:val="22"/>
              </w:rPr>
              <w:t>投标人的资质等级符合招标文件规定；</w:t>
            </w:r>
          </w:p>
          <w:p>
            <w:pPr>
              <w:snapToGrid w:val="0"/>
              <w:spacing w:line="288" w:lineRule="auto"/>
              <w:jc w:val="left"/>
              <w:rPr>
                <w:sz w:val="22"/>
                <w:szCs w:val="22"/>
              </w:rPr>
            </w:pPr>
            <w:r>
              <w:rPr>
                <w:rFonts w:hint="eastAsia"/>
                <w:sz w:val="22"/>
                <w:szCs w:val="22"/>
              </w:rPr>
              <w:t>（3）</w:t>
            </w:r>
            <w:r>
              <w:rPr>
                <w:sz w:val="22"/>
                <w:szCs w:val="22"/>
              </w:rPr>
              <w:t>投标人的类似项目业绩符合招标文件规定；</w:t>
            </w:r>
          </w:p>
          <w:p>
            <w:pPr>
              <w:snapToGrid w:val="0"/>
              <w:spacing w:line="288" w:lineRule="auto"/>
              <w:jc w:val="left"/>
              <w:rPr>
                <w:sz w:val="22"/>
                <w:szCs w:val="22"/>
              </w:rPr>
            </w:pPr>
            <w:r>
              <w:rPr>
                <w:rFonts w:hint="eastAsia"/>
                <w:sz w:val="22"/>
                <w:szCs w:val="22"/>
              </w:rPr>
              <w:t>（4）</w:t>
            </w:r>
            <w:r>
              <w:rPr>
                <w:sz w:val="22"/>
                <w:szCs w:val="22"/>
              </w:rPr>
              <w:t>投标人的信誉符合招标文件规定；</w:t>
            </w:r>
          </w:p>
          <w:p>
            <w:pPr>
              <w:snapToGrid w:val="0"/>
              <w:spacing w:line="288" w:lineRule="auto"/>
              <w:jc w:val="left"/>
              <w:rPr>
                <w:sz w:val="22"/>
                <w:szCs w:val="22"/>
              </w:rPr>
            </w:pPr>
            <w:r>
              <w:rPr>
                <w:rFonts w:hint="eastAsia"/>
                <w:sz w:val="22"/>
                <w:szCs w:val="22"/>
              </w:rPr>
              <w:t>（5）</w:t>
            </w:r>
            <w:r>
              <w:rPr>
                <w:sz w:val="22"/>
                <w:szCs w:val="22"/>
              </w:rPr>
              <w:t>投标人的</w:t>
            </w:r>
            <w:r>
              <w:rPr>
                <w:rFonts w:hint="eastAsia"/>
                <w:sz w:val="22"/>
                <w:szCs w:val="22"/>
              </w:rPr>
              <w:t>人员</w:t>
            </w:r>
            <w:r>
              <w:rPr>
                <w:sz w:val="22"/>
                <w:szCs w:val="22"/>
              </w:rPr>
              <w:t>资格符合招标文件规定；</w:t>
            </w:r>
          </w:p>
          <w:p>
            <w:pPr>
              <w:snapToGrid w:val="0"/>
              <w:spacing w:line="288" w:lineRule="auto"/>
              <w:jc w:val="left"/>
              <w:rPr>
                <w:sz w:val="22"/>
                <w:szCs w:val="22"/>
              </w:rPr>
            </w:pPr>
            <w:r>
              <w:rPr>
                <w:rFonts w:hint="eastAsia"/>
                <w:sz w:val="22"/>
                <w:szCs w:val="22"/>
              </w:rPr>
              <w:t>（6）</w:t>
            </w:r>
            <w:r>
              <w:rPr>
                <w:sz w:val="22"/>
                <w:szCs w:val="22"/>
              </w:rPr>
              <w:t>投标人的其他要求符合招标文件规定；</w:t>
            </w:r>
          </w:p>
          <w:p>
            <w:pPr>
              <w:snapToGrid w:val="0"/>
              <w:spacing w:line="288" w:lineRule="auto"/>
              <w:jc w:val="left"/>
              <w:rPr>
                <w:sz w:val="22"/>
                <w:szCs w:val="22"/>
              </w:rPr>
            </w:pPr>
            <w:r>
              <w:rPr>
                <w:rFonts w:hint="eastAsia"/>
                <w:sz w:val="22"/>
                <w:szCs w:val="22"/>
              </w:rPr>
              <w:t>（7）</w:t>
            </w:r>
            <w:r>
              <w:rPr>
                <w:sz w:val="22"/>
                <w:szCs w:val="22"/>
              </w:rPr>
              <w:t>投标人不存在第二章“投标人须知”第 1.4.3 项或第 1.4.4 项规定的任何一种情形；</w:t>
            </w:r>
          </w:p>
          <w:p>
            <w:pPr>
              <w:snapToGrid w:val="0"/>
              <w:spacing w:line="288" w:lineRule="auto"/>
              <w:jc w:val="left"/>
              <w:rPr>
                <w:sz w:val="22"/>
                <w:szCs w:val="22"/>
              </w:rPr>
            </w:pPr>
            <w:r>
              <w:rPr>
                <w:rFonts w:hint="eastAsia"/>
                <w:sz w:val="22"/>
                <w:szCs w:val="22"/>
              </w:rPr>
              <w:t>（8）</w:t>
            </w:r>
            <w:r>
              <w:rPr>
                <w:sz w:val="22"/>
                <w:szCs w:val="22"/>
              </w:rPr>
              <w:t>投标人符合第二章“投标人须知”第 1.4.5 项规定</w:t>
            </w:r>
            <w:r>
              <w:rPr>
                <w:rStyle w:val="52"/>
                <w:sz w:val="22"/>
                <w:szCs w:val="22"/>
              </w:rPr>
              <w:footnoteReference w:id="0"/>
            </w:r>
            <w:r>
              <w:rPr>
                <w:sz w:val="22"/>
                <w:szCs w:val="22"/>
              </w:rPr>
              <w:t>；</w:t>
            </w:r>
          </w:p>
        </w:tc>
      </w:tr>
    </w:tbl>
    <w:p>
      <w:pPr>
        <w:spacing w:line="400" w:lineRule="atLeast"/>
        <w:rPr>
          <w:rFonts w:ascii="宋体" w:hAnsi="宋体" w:cs="宋体"/>
          <w:b/>
          <w:bCs/>
          <w:sz w:val="30"/>
          <w:szCs w:val="30"/>
        </w:rPr>
      </w:pPr>
      <w:r>
        <w:rPr>
          <w:rFonts w:hint="eastAsia" w:eastAsia="黑体"/>
          <w:sz w:val="30"/>
          <w:szCs w:val="30"/>
        </w:rPr>
        <w:br w:type="page"/>
      </w:r>
    </w:p>
    <w:tbl>
      <w:tblPr>
        <w:tblStyle w:val="37"/>
        <w:tblW w:w="9459"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1095"/>
        <w:gridCol w:w="1611"/>
        <w:gridCol w:w="6753"/>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70" w:hRule="atLeast"/>
          <w:jc w:val="center"/>
        </w:trPr>
        <w:tc>
          <w:tcPr>
            <w:tcW w:w="1095" w:type="dxa"/>
            <w:tcBorders>
              <w:tl2br w:val="nil"/>
              <w:tr2bl w:val="nil"/>
            </w:tcBorders>
          </w:tcPr>
          <w:p>
            <w:pPr>
              <w:snapToGrid w:val="0"/>
              <w:spacing w:line="288" w:lineRule="auto"/>
              <w:jc w:val="center"/>
              <w:rPr>
                <w:rFonts w:ascii="宋体"/>
                <w:sz w:val="22"/>
                <w:szCs w:val="22"/>
              </w:rPr>
            </w:pPr>
            <w:r>
              <w:rPr>
                <w:rFonts w:hint="eastAsia" w:ascii="宋体" w:hAnsi="宋体"/>
                <w:sz w:val="22"/>
                <w:szCs w:val="22"/>
              </w:rPr>
              <w:t>条款号</w:t>
            </w:r>
          </w:p>
        </w:tc>
        <w:tc>
          <w:tcPr>
            <w:tcW w:w="1611" w:type="dxa"/>
            <w:tcBorders>
              <w:tl2br w:val="nil"/>
              <w:tr2bl w:val="nil"/>
            </w:tcBorders>
          </w:tcPr>
          <w:p>
            <w:pPr>
              <w:snapToGrid w:val="0"/>
              <w:spacing w:line="288" w:lineRule="auto"/>
              <w:jc w:val="center"/>
              <w:rPr>
                <w:rFonts w:ascii="宋体"/>
                <w:sz w:val="22"/>
                <w:szCs w:val="22"/>
              </w:rPr>
            </w:pPr>
            <w:r>
              <w:rPr>
                <w:rFonts w:hint="eastAsia" w:ascii="宋体" w:hAnsi="宋体"/>
                <w:sz w:val="22"/>
                <w:szCs w:val="22"/>
              </w:rPr>
              <w:t>条款内容</w:t>
            </w:r>
          </w:p>
        </w:tc>
        <w:tc>
          <w:tcPr>
            <w:tcW w:w="6753" w:type="dxa"/>
            <w:tcBorders>
              <w:tl2br w:val="nil"/>
              <w:tr2bl w:val="nil"/>
            </w:tcBorders>
          </w:tcPr>
          <w:p>
            <w:pPr>
              <w:snapToGrid w:val="0"/>
              <w:spacing w:line="288" w:lineRule="auto"/>
              <w:jc w:val="center"/>
              <w:rPr>
                <w:rFonts w:ascii="宋体"/>
                <w:sz w:val="22"/>
                <w:szCs w:val="22"/>
              </w:rPr>
            </w:pPr>
            <w:r>
              <w:rPr>
                <w:rFonts w:hint="eastAsia" w:ascii="宋体" w:hAnsi="宋体"/>
                <w:sz w:val="22"/>
                <w:szCs w:val="22"/>
              </w:rPr>
              <w:t>编列内容</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772" w:hRule="atLeast"/>
          <w:jc w:val="center"/>
        </w:trPr>
        <w:tc>
          <w:tcPr>
            <w:tcW w:w="1095" w:type="dxa"/>
            <w:tcBorders>
              <w:tl2br w:val="nil"/>
              <w:tr2bl w:val="nil"/>
            </w:tcBorders>
            <w:vAlign w:val="center"/>
          </w:tcPr>
          <w:p>
            <w:pPr>
              <w:snapToGrid w:val="0"/>
              <w:spacing w:line="288" w:lineRule="auto"/>
              <w:jc w:val="center"/>
              <w:rPr>
                <w:sz w:val="22"/>
                <w:szCs w:val="22"/>
              </w:rPr>
            </w:pPr>
            <w:r>
              <w:rPr>
                <w:sz w:val="22"/>
                <w:szCs w:val="22"/>
              </w:rPr>
              <w:t>2.2.1</w:t>
            </w:r>
          </w:p>
        </w:tc>
        <w:tc>
          <w:tcPr>
            <w:tcW w:w="1611" w:type="dxa"/>
            <w:tcBorders>
              <w:tl2br w:val="nil"/>
              <w:tr2bl w:val="nil"/>
            </w:tcBorders>
            <w:vAlign w:val="center"/>
          </w:tcPr>
          <w:p>
            <w:pPr>
              <w:snapToGrid w:val="0"/>
              <w:spacing w:line="288" w:lineRule="auto"/>
              <w:jc w:val="center"/>
              <w:rPr>
                <w:sz w:val="22"/>
                <w:szCs w:val="22"/>
              </w:rPr>
            </w:pPr>
            <w:r>
              <w:rPr>
                <w:sz w:val="22"/>
                <w:szCs w:val="22"/>
              </w:rPr>
              <w:t>分值构成</w:t>
            </w:r>
          </w:p>
          <w:p>
            <w:pPr>
              <w:snapToGrid w:val="0"/>
              <w:spacing w:line="288" w:lineRule="auto"/>
              <w:jc w:val="center"/>
              <w:rPr>
                <w:sz w:val="22"/>
                <w:szCs w:val="22"/>
              </w:rPr>
            </w:pPr>
            <w:r>
              <w:rPr>
                <w:sz w:val="22"/>
                <w:szCs w:val="22"/>
              </w:rPr>
              <w:t>（总分100分）</w:t>
            </w:r>
          </w:p>
        </w:tc>
        <w:tc>
          <w:tcPr>
            <w:tcW w:w="6753" w:type="dxa"/>
            <w:tcBorders>
              <w:tl2br w:val="nil"/>
              <w:tr2bl w:val="nil"/>
            </w:tcBorders>
          </w:tcPr>
          <w:p>
            <w:pPr>
              <w:snapToGrid w:val="0"/>
              <w:spacing w:line="288" w:lineRule="auto"/>
              <w:jc w:val="left"/>
              <w:rPr>
                <w:b/>
                <w:sz w:val="22"/>
                <w:szCs w:val="22"/>
              </w:rPr>
            </w:pPr>
            <w:r>
              <w:rPr>
                <w:b/>
                <w:sz w:val="22"/>
                <w:szCs w:val="22"/>
              </w:rPr>
              <w:t>商务及技术文件评分分值构成：</w:t>
            </w:r>
            <w:r>
              <w:rPr>
                <w:rFonts w:hint="eastAsia"/>
                <w:b/>
                <w:sz w:val="22"/>
                <w:szCs w:val="22"/>
              </w:rPr>
              <w:t>90分</w:t>
            </w:r>
          </w:p>
          <w:p>
            <w:pPr>
              <w:snapToGrid w:val="0"/>
              <w:spacing w:line="288" w:lineRule="auto"/>
              <w:jc w:val="left"/>
              <w:rPr>
                <w:rFonts w:ascii="宋体" w:hAnsi="宋体"/>
                <w:sz w:val="24"/>
              </w:rPr>
            </w:pPr>
            <w:r>
              <w:rPr>
                <w:rFonts w:ascii="宋体" w:hAnsi="宋体"/>
                <w:sz w:val="24"/>
              </w:rPr>
              <w:t>技术建议书：45分</w:t>
            </w:r>
            <w:r>
              <w:rPr>
                <w:rFonts w:hint="eastAsia" w:ascii="宋体" w:hAnsi="宋体"/>
                <w:sz w:val="24"/>
              </w:rPr>
              <w:t>；</w:t>
            </w:r>
            <w:r>
              <w:rPr>
                <w:rFonts w:ascii="宋体" w:hAnsi="宋体"/>
                <w:sz w:val="24"/>
              </w:rPr>
              <w:t>主要人员：20分</w:t>
            </w:r>
            <w:r>
              <w:rPr>
                <w:rFonts w:hint="eastAsia" w:ascii="宋体" w:hAnsi="宋体"/>
                <w:sz w:val="24"/>
              </w:rPr>
              <w:t>；</w:t>
            </w:r>
            <w:r>
              <w:rPr>
                <w:rFonts w:ascii="宋体" w:hAnsi="宋体"/>
                <w:sz w:val="24"/>
              </w:rPr>
              <w:t>业绩：14分</w:t>
            </w:r>
            <w:r>
              <w:rPr>
                <w:rFonts w:hint="eastAsia" w:ascii="宋体" w:hAnsi="宋体"/>
                <w:sz w:val="24"/>
              </w:rPr>
              <w:t>；</w:t>
            </w:r>
            <w:r>
              <w:rPr>
                <w:rFonts w:ascii="宋体" w:hAnsi="宋体"/>
                <w:sz w:val="24"/>
              </w:rPr>
              <w:t>履约信誉：</w:t>
            </w:r>
            <w:r>
              <w:rPr>
                <w:rFonts w:hint="eastAsia" w:ascii="宋体" w:hAnsi="宋体"/>
                <w:sz w:val="24"/>
              </w:rPr>
              <w:t>3分；获奖：8</w:t>
            </w:r>
            <w:r>
              <w:rPr>
                <w:rFonts w:ascii="宋体" w:hAnsi="宋体"/>
                <w:sz w:val="24"/>
              </w:rPr>
              <w:t>分</w:t>
            </w:r>
            <w:r>
              <w:rPr>
                <w:rFonts w:hint="eastAsia" w:ascii="宋体" w:hAnsi="宋体"/>
                <w:sz w:val="24"/>
              </w:rPr>
              <w:t>。</w:t>
            </w:r>
          </w:p>
          <w:p>
            <w:pPr>
              <w:snapToGrid w:val="0"/>
              <w:spacing w:line="288" w:lineRule="auto"/>
              <w:jc w:val="left"/>
              <w:rPr>
                <w:b/>
                <w:sz w:val="22"/>
                <w:szCs w:val="22"/>
              </w:rPr>
            </w:pPr>
            <w:r>
              <w:rPr>
                <w:b/>
                <w:sz w:val="22"/>
                <w:szCs w:val="22"/>
              </w:rPr>
              <w:t>报价文件评分分值构成：</w:t>
            </w:r>
            <w:r>
              <w:rPr>
                <w:rFonts w:hint="eastAsia"/>
                <w:b/>
                <w:sz w:val="22"/>
                <w:szCs w:val="22"/>
              </w:rPr>
              <w:t>10分</w:t>
            </w:r>
          </w:p>
          <w:p>
            <w:pPr>
              <w:snapToGrid w:val="0"/>
              <w:spacing w:line="288" w:lineRule="auto"/>
              <w:jc w:val="left"/>
              <w:rPr>
                <w:sz w:val="22"/>
                <w:szCs w:val="22"/>
              </w:rPr>
            </w:pPr>
            <w:r>
              <w:rPr>
                <w:sz w:val="22"/>
                <w:szCs w:val="22"/>
              </w:rPr>
              <w:t>评标价：</w:t>
            </w:r>
            <w:r>
              <w:rPr>
                <w:rFonts w:hint="eastAsia"/>
                <w:sz w:val="22"/>
                <w:szCs w:val="22"/>
                <w:u w:val="single"/>
              </w:rPr>
              <w:t>10</w:t>
            </w:r>
            <w:r>
              <w:rPr>
                <w:sz w:val="22"/>
                <w:szCs w:val="22"/>
              </w:rPr>
              <w:t>分</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449" w:hRule="atLeast"/>
          <w:jc w:val="center"/>
        </w:trPr>
        <w:tc>
          <w:tcPr>
            <w:tcW w:w="1095" w:type="dxa"/>
            <w:tcBorders>
              <w:tl2br w:val="nil"/>
              <w:tr2bl w:val="nil"/>
            </w:tcBorders>
            <w:vAlign w:val="center"/>
          </w:tcPr>
          <w:p>
            <w:pPr>
              <w:snapToGrid w:val="0"/>
              <w:spacing w:line="288" w:lineRule="auto"/>
              <w:jc w:val="center"/>
              <w:rPr>
                <w:sz w:val="22"/>
                <w:szCs w:val="22"/>
              </w:rPr>
            </w:pPr>
            <w:r>
              <w:rPr>
                <w:sz w:val="22"/>
                <w:szCs w:val="22"/>
              </w:rPr>
              <w:t>2.2.2</w:t>
            </w:r>
          </w:p>
        </w:tc>
        <w:tc>
          <w:tcPr>
            <w:tcW w:w="1611" w:type="dxa"/>
            <w:tcBorders>
              <w:tl2br w:val="nil"/>
              <w:tr2bl w:val="nil"/>
            </w:tcBorders>
            <w:vAlign w:val="center"/>
          </w:tcPr>
          <w:p>
            <w:pPr>
              <w:snapToGrid w:val="0"/>
              <w:spacing w:line="288" w:lineRule="auto"/>
              <w:jc w:val="center"/>
              <w:rPr>
                <w:rFonts w:ascii="宋体"/>
                <w:sz w:val="22"/>
                <w:szCs w:val="22"/>
              </w:rPr>
            </w:pPr>
            <w:r>
              <w:rPr>
                <w:rFonts w:hint="eastAsia" w:ascii="宋体" w:hAnsi="宋体"/>
                <w:sz w:val="22"/>
                <w:szCs w:val="22"/>
              </w:rPr>
              <w:t>评标基准价计算方法</w:t>
            </w:r>
          </w:p>
        </w:tc>
        <w:tc>
          <w:tcPr>
            <w:tcW w:w="6753" w:type="dxa"/>
            <w:tcBorders>
              <w:tl2br w:val="nil"/>
              <w:tr2bl w:val="nil"/>
            </w:tcBorders>
            <w:vAlign w:val="center"/>
          </w:tcPr>
          <w:p>
            <w:pPr>
              <w:snapToGrid w:val="0"/>
              <w:spacing w:line="288" w:lineRule="auto"/>
              <w:ind w:left="113" w:right="113" w:firstLine="220" w:firstLineChars="100"/>
              <w:rPr>
                <w:sz w:val="22"/>
                <w:szCs w:val="22"/>
              </w:rPr>
            </w:pPr>
            <w:r>
              <w:rPr>
                <w:sz w:val="22"/>
                <w:szCs w:val="22"/>
              </w:rPr>
              <w:t>评标基准价的计算：</w:t>
            </w:r>
          </w:p>
          <w:p>
            <w:pPr>
              <w:snapToGrid w:val="0"/>
              <w:spacing w:line="288" w:lineRule="auto"/>
              <w:ind w:left="113" w:right="113" w:firstLine="220" w:firstLineChars="100"/>
              <w:rPr>
                <w:sz w:val="22"/>
                <w:szCs w:val="22"/>
              </w:rPr>
            </w:pPr>
            <w:r>
              <w:rPr>
                <w:sz w:val="22"/>
                <w:szCs w:val="22"/>
              </w:rPr>
              <w:t>（1）评标价的确定：</w:t>
            </w:r>
          </w:p>
          <w:p>
            <w:pPr>
              <w:snapToGrid w:val="0"/>
              <w:spacing w:line="288" w:lineRule="auto"/>
              <w:ind w:left="113" w:right="113" w:firstLine="220" w:firstLineChars="100"/>
              <w:rPr>
                <w:sz w:val="22"/>
                <w:szCs w:val="22"/>
              </w:rPr>
            </w:pPr>
            <w:r>
              <w:rPr>
                <w:sz w:val="22"/>
                <w:szCs w:val="22"/>
              </w:rPr>
              <w:t>评标价=投标函文字报价</w:t>
            </w:r>
          </w:p>
          <w:p>
            <w:pPr>
              <w:snapToGrid w:val="0"/>
              <w:spacing w:line="288" w:lineRule="auto"/>
              <w:ind w:left="113" w:right="113" w:firstLine="220" w:firstLineChars="100"/>
              <w:rPr>
                <w:sz w:val="22"/>
                <w:szCs w:val="22"/>
              </w:rPr>
            </w:pPr>
            <w:r>
              <w:rPr>
                <w:sz w:val="22"/>
                <w:szCs w:val="22"/>
              </w:rPr>
              <w:t>（2）评标价平均值的计算：</w:t>
            </w:r>
          </w:p>
          <w:p>
            <w:pPr>
              <w:snapToGrid w:val="0"/>
              <w:spacing w:line="288" w:lineRule="auto"/>
              <w:ind w:left="113" w:right="113" w:firstLine="440" w:firstLineChars="200"/>
              <w:rPr>
                <w:sz w:val="22"/>
                <w:szCs w:val="22"/>
              </w:rPr>
            </w:pPr>
            <w:r>
              <w:rPr>
                <w:sz w:val="22"/>
                <w:szCs w:val="22"/>
              </w:rPr>
              <w:t>除按第二章</w:t>
            </w:r>
            <w:r>
              <w:rPr>
                <w:rFonts w:hint="eastAsia" w:ascii="宋体" w:hAnsi="宋体" w:cs="宋体"/>
                <w:sz w:val="22"/>
                <w:szCs w:val="22"/>
              </w:rPr>
              <w:t>“投标人须知”</w:t>
            </w:r>
            <w:r>
              <w:rPr>
                <w:sz w:val="22"/>
                <w:szCs w:val="22"/>
              </w:rPr>
              <w:t>第5.2.4项规定开标现场被宣布为不进入评标基准价计算的投标报价之外，所有投标人的评标价去掉一个最高值和一个最低值后的算术平均值即为评标价平均值</w:t>
            </w:r>
            <w:r>
              <w:rPr>
                <w:rFonts w:hint="eastAsia"/>
                <w:sz w:val="22"/>
                <w:szCs w:val="22"/>
              </w:rPr>
              <w:t>（</w:t>
            </w:r>
            <w:r>
              <w:rPr>
                <w:sz w:val="22"/>
                <w:szCs w:val="22"/>
              </w:rPr>
              <w:t>如果参与评标价平均值计算的有效投标人少于5家时，则计算评标价平均值时不去掉最高值和最低值</w:t>
            </w:r>
            <w:r>
              <w:rPr>
                <w:rFonts w:hint="eastAsia"/>
                <w:sz w:val="22"/>
                <w:szCs w:val="22"/>
              </w:rPr>
              <w:t>）。</w:t>
            </w:r>
          </w:p>
          <w:p>
            <w:pPr>
              <w:snapToGrid w:val="0"/>
              <w:spacing w:line="288" w:lineRule="auto"/>
              <w:ind w:left="113" w:right="113" w:firstLine="220" w:firstLineChars="100"/>
              <w:rPr>
                <w:sz w:val="22"/>
                <w:szCs w:val="22"/>
              </w:rPr>
            </w:pPr>
            <w:r>
              <w:rPr>
                <w:sz w:val="22"/>
                <w:szCs w:val="22"/>
              </w:rPr>
              <w:t>（3）评标基准价的确定：</w:t>
            </w:r>
          </w:p>
          <w:p>
            <w:pPr>
              <w:snapToGrid w:val="0"/>
              <w:spacing w:line="288" w:lineRule="auto"/>
              <w:ind w:firstLine="440" w:firstLineChars="200"/>
              <w:jc w:val="left"/>
              <w:rPr>
                <w:rFonts w:ascii="宋体" w:hAnsi="宋体"/>
                <w:sz w:val="22"/>
                <w:szCs w:val="22"/>
              </w:rPr>
            </w:pPr>
            <w:r>
              <w:rPr>
                <w:rFonts w:hint="eastAsia" w:ascii="宋体" w:hAnsi="宋体"/>
                <w:sz w:val="22"/>
                <w:szCs w:val="22"/>
              </w:rPr>
              <w:t>将评标价平均值直接作为评标基准价。</w:t>
            </w:r>
          </w:p>
          <w:p>
            <w:pPr>
              <w:snapToGrid w:val="0"/>
              <w:spacing w:line="288" w:lineRule="auto"/>
              <w:ind w:firstLine="440" w:firstLineChars="200"/>
              <w:jc w:val="left"/>
              <w:rPr>
                <w:rFonts w:ascii="宋体" w:hAnsi="宋体"/>
                <w:sz w:val="22"/>
                <w:szCs w:val="22"/>
              </w:rPr>
            </w:pPr>
            <w:r>
              <w:rPr>
                <w:rFonts w:hint="eastAsia" w:ascii="宋体" w:hAnsi="宋体"/>
                <w:sz w:val="22"/>
                <w:szCs w:val="22"/>
              </w:rPr>
              <w:t>计算结果保留二位小数，小数点后第三位四舍五入。</w:t>
            </w:r>
          </w:p>
          <w:p>
            <w:pPr>
              <w:snapToGrid w:val="0"/>
              <w:spacing w:line="288" w:lineRule="auto"/>
              <w:ind w:firstLine="440" w:firstLineChars="200"/>
              <w:jc w:val="left"/>
              <w:rPr>
                <w:rFonts w:ascii="宋体" w:hAnsi="宋体"/>
                <w:sz w:val="22"/>
                <w:szCs w:val="22"/>
              </w:rPr>
            </w:pPr>
            <w:r>
              <w:rPr>
                <w:sz w:val="22"/>
                <w:szCs w:val="22"/>
              </w:rPr>
              <w:t>在评标过程中，评标委员会应对招标人计算的评标基准价进行复核，存在计算错误的应予以修正并在评标报告中作出说明。除此之外，评标基准价在整个评标期间保持不变，不随任何因素发生变化。</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719" w:hRule="atLeast"/>
          <w:jc w:val="center"/>
        </w:trPr>
        <w:tc>
          <w:tcPr>
            <w:tcW w:w="1095" w:type="dxa"/>
            <w:tcBorders>
              <w:tl2br w:val="nil"/>
              <w:tr2bl w:val="nil"/>
            </w:tcBorders>
            <w:vAlign w:val="center"/>
          </w:tcPr>
          <w:p>
            <w:pPr>
              <w:snapToGrid w:val="0"/>
              <w:spacing w:line="288" w:lineRule="auto"/>
              <w:jc w:val="center"/>
              <w:rPr>
                <w:sz w:val="22"/>
                <w:szCs w:val="22"/>
              </w:rPr>
            </w:pPr>
            <w:r>
              <w:rPr>
                <w:sz w:val="22"/>
                <w:szCs w:val="22"/>
              </w:rPr>
              <w:t>2.2.3</w:t>
            </w:r>
          </w:p>
        </w:tc>
        <w:tc>
          <w:tcPr>
            <w:tcW w:w="1611" w:type="dxa"/>
            <w:tcBorders>
              <w:tl2br w:val="nil"/>
              <w:tr2bl w:val="nil"/>
            </w:tcBorders>
            <w:vAlign w:val="center"/>
          </w:tcPr>
          <w:p>
            <w:pPr>
              <w:snapToGrid w:val="0"/>
              <w:spacing w:line="288" w:lineRule="auto"/>
              <w:jc w:val="center"/>
              <w:rPr>
                <w:rFonts w:ascii="宋体"/>
                <w:sz w:val="22"/>
                <w:szCs w:val="22"/>
              </w:rPr>
            </w:pPr>
            <w:r>
              <w:rPr>
                <w:rFonts w:hint="eastAsia" w:ascii="宋体" w:hAnsi="宋体"/>
                <w:sz w:val="22"/>
                <w:szCs w:val="22"/>
              </w:rPr>
              <w:t>评标价的偏差率计算公式</w:t>
            </w:r>
          </w:p>
        </w:tc>
        <w:tc>
          <w:tcPr>
            <w:tcW w:w="6753" w:type="dxa"/>
            <w:tcBorders>
              <w:tl2br w:val="nil"/>
              <w:tr2bl w:val="nil"/>
            </w:tcBorders>
            <w:vAlign w:val="center"/>
          </w:tcPr>
          <w:p>
            <w:pPr>
              <w:snapToGrid w:val="0"/>
              <w:spacing w:line="288" w:lineRule="auto"/>
              <w:ind w:right="113"/>
              <w:jc w:val="left"/>
              <w:rPr>
                <w:rFonts w:ascii="宋体" w:hAnsi="宋体"/>
                <w:sz w:val="22"/>
                <w:szCs w:val="22"/>
              </w:rPr>
            </w:pPr>
            <w:r>
              <w:rPr>
                <w:sz w:val="22"/>
                <w:szCs w:val="22"/>
              </w:rPr>
              <w:t>偏差率=100%</w:t>
            </w:r>
            <w:r>
              <w:rPr>
                <w:rFonts w:hint="eastAsia" w:ascii="宋体" w:hAnsi="宋体" w:cs="宋体"/>
                <w:sz w:val="22"/>
                <w:szCs w:val="22"/>
              </w:rPr>
              <w:t>×（投标人评标价-评标基准价）</w:t>
            </w:r>
            <w:r>
              <w:rPr>
                <w:sz w:val="22"/>
                <w:szCs w:val="22"/>
              </w:rPr>
              <w:t>/评标基准价</w:t>
            </w:r>
          </w:p>
        </w:tc>
      </w:tr>
    </w:tbl>
    <w:p>
      <w:pPr>
        <w:tabs>
          <w:tab w:val="left" w:pos="7709"/>
        </w:tabs>
        <w:spacing w:line="400" w:lineRule="atLeast"/>
        <w:jc w:val="center"/>
        <w:rPr>
          <w:rFonts w:ascii="宋体" w:hAnsi="宋体"/>
          <w:b/>
          <w:szCs w:val="21"/>
        </w:rPr>
      </w:pPr>
    </w:p>
    <w:tbl>
      <w:tblPr>
        <w:tblStyle w:val="37"/>
        <w:tblW w:w="9448"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864"/>
        <w:gridCol w:w="791"/>
        <w:gridCol w:w="776"/>
        <w:gridCol w:w="285"/>
        <w:gridCol w:w="435"/>
        <w:gridCol w:w="1350"/>
        <w:gridCol w:w="810"/>
        <w:gridCol w:w="4137"/>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9" w:hRule="atLeast"/>
          <w:jc w:val="center"/>
        </w:trPr>
        <w:tc>
          <w:tcPr>
            <w:tcW w:w="5311" w:type="dxa"/>
            <w:gridSpan w:val="7"/>
            <w:tcBorders>
              <w:tl2br w:val="nil"/>
              <w:tr2bl w:val="nil"/>
            </w:tcBorders>
            <w:vAlign w:val="center"/>
          </w:tcPr>
          <w:p>
            <w:pPr>
              <w:spacing w:line="400" w:lineRule="atLeast"/>
              <w:jc w:val="center"/>
              <w:rPr>
                <w:rFonts w:ascii="宋体"/>
                <w:b/>
                <w:sz w:val="22"/>
                <w:szCs w:val="22"/>
              </w:rPr>
            </w:pPr>
            <w:r>
              <w:rPr>
                <w:rFonts w:hint="eastAsia" w:ascii="宋体" w:hAnsi="宋体"/>
                <w:b/>
                <w:sz w:val="22"/>
                <w:szCs w:val="22"/>
              </w:rPr>
              <w:t>评分因素与权重分值</w:t>
            </w:r>
          </w:p>
        </w:tc>
        <w:tc>
          <w:tcPr>
            <w:tcW w:w="4137" w:type="dxa"/>
            <w:vMerge w:val="restart"/>
            <w:tcBorders>
              <w:tl2br w:val="nil"/>
              <w:tr2bl w:val="nil"/>
            </w:tcBorders>
            <w:vAlign w:val="center"/>
          </w:tcPr>
          <w:p>
            <w:pPr>
              <w:spacing w:line="400" w:lineRule="atLeast"/>
              <w:jc w:val="center"/>
              <w:rPr>
                <w:rFonts w:ascii="宋体"/>
                <w:b/>
                <w:sz w:val="22"/>
                <w:szCs w:val="22"/>
              </w:rPr>
            </w:pPr>
            <w:r>
              <w:rPr>
                <w:rFonts w:hint="eastAsia" w:ascii="宋体" w:hAnsi="宋体"/>
                <w:b/>
                <w:sz w:val="22"/>
                <w:szCs w:val="22"/>
              </w:rPr>
              <w:t>评分标准</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9" w:hRule="atLeast"/>
          <w:jc w:val="center"/>
        </w:trPr>
        <w:tc>
          <w:tcPr>
            <w:tcW w:w="864" w:type="dxa"/>
            <w:tcBorders>
              <w:tl2br w:val="nil"/>
              <w:tr2bl w:val="nil"/>
            </w:tcBorders>
            <w:vAlign w:val="center"/>
          </w:tcPr>
          <w:p>
            <w:pPr>
              <w:spacing w:line="400" w:lineRule="atLeast"/>
              <w:jc w:val="center"/>
              <w:rPr>
                <w:rFonts w:ascii="宋体"/>
                <w:b/>
                <w:sz w:val="22"/>
                <w:szCs w:val="22"/>
              </w:rPr>
            </w:pPr>
            <w:r>
              <w:rPr>
                <w:rFonts w:hint="eastAsia" w:ascii="宋体" w:hAnsi="宋体"/>
                <w:b/>
                <w:sz w:val="22"/>
                <w:szCs w:val="22"/>
              </w:rPr>
              <w:t>条款号</w:t>
            </w:r>
          </w:p>
        </w:tc>
        <w:tc>
          <w:tcPr>
            <w:tcW w:w="791" w:type="dxa"/>
            <w:tcBorders>
              <w:tl2br w:val="nil"/>
              <w:tr2bl w:val="nil"/>
            </w:tcBorders>
            <w:vAlign w:val="center"/>
          </w:tcPr>
          <w:p>
            <w:pPr>
              <w:spacing w:line="400" w:lineRule="atLeast"/>
              <w:jc w:val="center"/>
              <w:rPr>
                <w:rFonts w:ascii="宋体"/>
                <w:b/>
                <w:sz w:val="22"/>
                <w:szCs w:val="22"/>
              </w:rPr>
            </w:pPr>
            <w:r>
              <w:rPr>
                <w:rFonts w:hint="eastAsia" w:ascii="宋体" w:hAnsi="宋体"/>
                <w:b/>
                <w:sz w:val="22"/>
                <w:szCs w:val="22"/>
              </w:rPr>
              <w:t>评分因素</w:t>
            </w:r>
          </w:p>
        </w:tc>
        <w:tc>
          <w:tcPr>
            <w:tcW w:w="1061" w:type="dxa"/>
            <w:gridSpan w:val="2"/>
            <w:tcBorders>
              <w:tl2br w:val="nil"/>
              <w:tr2bl w:val="nil"/>
            </w:tcBorders>
            <w:vAlign w:val="center"/>
          </w:tcPr>
          <w:p>
            <w:pPr>
              <w:jc w:val="center"/>
              <w:rPr>
                <w:rFonts w:ascii="宋体"/>
                <w:b/>
                <w:sz w:val="22"/>
                <w:szCs w:val="22"/>
              </w:rPr>
            </w:pPr>
            <w:r>
              <w:rPr>
                <w:rFonts w:hint="eastAsia" w:ascii="宋体" w:hAnsi="宋体"/>
                <w:b/>
                <w:sz w:val="22"/>
                <w:szCs w:val="22"/>
              </w:rPr>
              <w:t>评分因素权重分值</w:t>
            </w:r>
          </w:p>
        </w:tc>
        <w:tc>
          <w:tcPr>
            <w:tcW w:w="1785" w:type="dxa"/>
            <w:gridSpan w:val="2"/>
            <w:tcBorders>
              <w:tl2br w:val="nil"/>
              <w:tr2bl w:val="nil"/>
            </w:tcBorders>
            <w:vAlign w:val="center"/>
          </w:tcPr>
          <w:p>
            <w:pPr>
              <w:spacing w:line="400" w:lineRule="atLeast"/>
              <w:jc w:val="center"/>
              <w:rPr>
                <w:rFonts w:ascii="宋体"/>
                <w:b/>
                <w:sz w:val="22"/>
                <w:szCs w:val="22"/>
              </w:rPr>
            </w:pPr>
            <w:r>
              <w:rPr>
                <w:rFonts w:hint="eastAsia" w:ascii="宋体" w:hAnsi="宋体"/>
                <w:b/>
                <w:sz w:val="22"/>
                <w:szCs w:val="22"/>
              </w:rPr>
              <w:t>各评分因素细分项</w:t>
            </w:r>
          </w:p>
        </w:tc>
        <w:tc>
          <w:tcPr>
            <w:tcW w:w="810" w:type="dxa"/>
            <w:tcBorders>
              <w:tl2br w:val="nil"/>
              <w:tr2bl w:val="nil"/>
            </w:tcBorders>
            <w:vAlign w:val="center"/>
          </w:tcPr>
          <w:p>
            <w:pPr>
              <w:spacing w:line="400" w:lineRule="atLeast"/>
              <w:jc w:val="center"/>
              <w:rPr>
                <w:rFonts w:ascii="宋体"/>
                <w:b/>
                <w:sz w:val="22"/>
                <w:szCs w:val="22"/>
              </w:rPr>
            </w:pPr>
            <w:r>
              <w:rPr>
                <w:rFonts w:hint="eastAsia" w:ascii="宋体" w:hAnsi="宋体"/>
                <w:b/>
                <w:sz w:val="22"/>
                <w:szCs w:val="22"/>
              </w:rPr>
              <w:t>分值</w:t>
            </w:r>
          </w:p>
        </w:tc>
        <w:tc>
          <w:tcPr>
            <w:tcW w:w="4137" w:type="dxa"/>
            <w:vMerge w:val="continue"/>
            <w:tcBorders>
              <w:tl2br w:val="nil"/>
              <w:tr2bl w:val="nil"/>
            </w:tcBorders>
            <w:vAlign w:val="center"/>
          </w:tcPr>
          <w:p>
            <w:pPr>
              <w:spacing w:line="400" w:lineRule="atLeast"/>
              <w:jc w:val="center"/>
              <w:rPr>
                <w:rFonts w:ascii="宋体"/>
                <w:b/>
                <w:sz w:val="22"/>
                <w:szCs w:val="22"/>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70" w:hRule="atLeast"/>
          <w:jc w:val="center"/>
        </w:trPr>
        <w:tc>
          <w:tcPr>
            <w:tcW w:w="864" w:type="dxa"/>
            <w:vMerge w:val="restart"/>
            <w:tcBorders>
              <w:tl2br w:val="nil"/>
              <w:tr2bl w:val="nil"/>
            </w:tcBorders>
            <w:vAlign w:val="center"/>
          </w:tcPr>
          <w:p>
            <w:pPr>
              <w:jc w:val="center"/>
              <w:rPr>
                <w:sz w:val="22"/>
                <w:szCs w:val="22"/>
              </w:rPr>
            </w:pPr>
            <w:r>
              <w:rPr>
                <w:sz w:val="22"/>
                <w:szCs w:val="22"/>
              </w:rPr>
              <w:t>2.2.4（1）</w:t>
            </w:r>
          </w:p>
        </w:tc>
        <w:tc>
          <w:tcPr>
            <w:tcW w:w="791" w:type="dxa"/>
            <w:vMerge w:val="restart"/>
            <w:tcBorders>
              <w:tl2br w:val="nil"/>
              <w:tr2bl w:val="nil"/>
            </w:tcBorders>
            <w:vAlign w:val="center"/>
          </w:tcPr>
          <w:p>
            <w:pPr>
              <w:spacing w:line="400" w:lineRule="atLeast"/>
              <w:jc w:val="center"/>
              <w:rPr>
                <w:rFonts w:ascii="宋体"/>
                <w:sz w:val="22"/>
                <w:szCs w:val="22"/>
              </w:rPr>
            </w:pPr>
            <w:r>
              <w:rPr>
                <w:rFonts w:hint="eastAsia" w:ascii="宋体" w:hAnsi="宋体"/>
                <w:sz w:val="22"/>
                <w:szCs w:val="22"/>
              </w:rPr>
              <w:t>技术建议书</w:t>
            </w:r>
          </w:p>
        </w:tc>
        <w:tc>
          <w:tcPr>
            <w:tcW w:w="1061" w:type="dxa"/>
            <w:gridSpan w:val="2"/>
            <w:vMerge w:val="restart"/>
            <w:tcBorders>
              <w:tl2br w:val="nil"/>
              <w:tr2bl w:val="nil"/>
            </w:tcBorders>
            <w:vAlign w:val="center"/>
          </w:tcPr>
          <w:p>
            <w:pPr>
              <w:spacing w:line="400" w:lineRule="atLeast"/>
              <w:jc w:val="center"/>
              <w:rPr>
                <w:rFonts w:ascii="宋体"/>
                <w:sz w:val="22"/>
                <w:szCs w:val="22"/>
              </w:rPr>
            </w:pPr>
            <w:r>
              <w:rPr>
                <w:rFonts w:hint="eastAsia" w:ascii="宋体" w:hAnsi="宋体"/>
                <w:sz w:val="22"/>
                <w:szCs w:val="22"/>
              </w:rPr>
              <w:t>45分</w:t>
            </w:r>
          </w:p>
        </w:tc>
        <w:tc>
          <w:tcPr>
            <w:tcW w:w="1785" w:type="dxa"/>
            <w:gridSpan w:val="2"/>
            <w:tcBorders>
              <w:tl2br w:val="nil"/>
              <w:tr2bl w:val="nil"/>
            </w:tcBorders>
            <w:vAlign w:val="center"/>
          </w:tcPr>
          <w:p>
            <w:pPr>
              <w:spacing w:line="276" w:lineRule="auto"/>
              <w:ind w:right="113"/>
              <w:rPr>
                <w:rFonts w:ascii="宋体"/>
                <w:sz w:val="22"/>
                <w:szCs w:val="22"/>
              </w:rPr>
            </w:pPr>
            <w:r>
              <w:rPr>
                <w:sz w:val="22"/>
                <w:szCs w:val="22"/>
              </w:rPr>
              <w:t>对招标项目的理解和总体设计思路</w:t>
            </w:r>
          </w:p>
        </w:tc>
        <w:tc>
          <w:tcPr>
            <w:tcW w:w="810" w:type="dxa"/>
            <w:tcBorders>
              <w:tl2br w:val="nil"/>
              <w:tr2bl w:val="nil"/>
            </w:tcBorders>
            <w:vAlign w:val="center"/>
          </w:tcPr>
          <w:p>
            <w:pPr>
              <w:jc w:val="center"/>
              <w:rPr>
                <w:rFonts w:ascii="宋体"/>
                <w:sz w:val="22"/>
                <w:szCs w:val="22"/>
              </w:rPr>
            </w:pPr>
            <w:r>
              <w:rPr>
                <w:rFonts w:ascii="宋体" w:hAnsi="宋体"/>
              </w:rPr>
              <w:t>10分</w:t>
            </w:r>
          </w:p>
        </w:tc>
        <w:tc>
          <w:tcPr>
            <w:tcW w:w="4137" w:type="dxa"/>
            <w:tcBorders>
              <w:tl2br w:val="nil"/>
              <w:tr2bl w:val="nil"/>
            </w:tcBorders>
            <w:vAlign w:val="center"/>
          </w:tcPr>
          <w:p>
            <w:pPr>
              <w:widowControl/>
              <w:jc w:val="left"/>
              <w:rPr>
                <w:rFonts w:ascii="宋体"/>
                <w:sz w:val="22"/>
                <w:szCs w:val="22"/>
              </w:rPr>
            </w:pPr>
            <w:r>
              <w:rPr>
                <w:rFonts w:hint="eastAsia" w:ascii="宋体" w:hAnsi="宋体"/>
              </w:rPr>
              <w:t>对项目理解深入、细致，提供方案设计资料翔实情况，总体设计思路清晰合理的得</w:t>
            </w:r>
            <w:r>
              <w:rPr>
                <w:rFonts w:ascii="宋体" w:hAnsi="宋体"/>
              </w:rPr>
              <w:t>8</w:t>
            </w:r>
            <w:r>
              <w:rPr>
                <w:rFonts w:hint="eastAsia" w:ascii="宋体" w:hAnsi="宋体"/>
              </w:rPr>
              <w:t>～</w:t>
            </w:r>
            <w:r>
              <w:rPr>
                <w:rFonts w:ascii="宋体" w:hAnsi="宋体"/>
              </w:rPr>
              <w:t>10</w:t>
            </w:r>
            <w:r>
              <w:rPr>
                <w:rFonts w:hint="eastAsia" w:ascii="宋体" w:hAnsi="宋体"/>
              </w:rPr>
              <w:t>分；较好的得</w:t>
            </w:r>
            <w:r>
              <w:rPr>
                <w:rFonts w:ascii="宋体" w:hAnsi="宋体"/>
              </w:rPr>
              <w:t>7</w:t>
            </w:r>
            <w:r>
              <w:rPr>
                <w:rFonts w:hint="eastAsia" w:ascii="宋体" w:hAnsi="宋体"/>
              </w:rPr>
              <w:t>～</w:t>
            </w:r>
            <w:r>
              <w:rPr>
                <w:rFonts w:ascii="宋体" w:hAnsi="宋体"/>
              </w:rPr>
              <w:t>8</w:t>
            </w:r>
            <w:r>
              <w:rPr>
                <w:rFonts w:hint="eastAsia" w:ascii="宋体" w:hAnsi="宋体"/>
              </w:rPr>
              <w:t>分；一般的得</w:t>
            </w:r>
            <w:r>
              <w:rPr>
                <w:rFonts w:ascii="宋体" w:hAnsi="宋体"/>
              </w:rPr>
              <w:t>6</w:t>
            </w:r>
            <w:r>
              <w:rPr>
                <w:rFonts w:hint="eastAsia" w:ascii="宋体" w:hAnsi="宋体"/>
              </w:rPr>
              <w:t>～</w:t>
            </w:r>
            <w:r>
              <w:rPr>
                <w:rFonts w:ascii="宋体" w:hAnsi="宋体"/>
              </w:rPr>
              <w:t>7</w:t>
            </w:r>
            <w:r>
              <w:rPr>
                <w:rFonts w:hint="eastAsia" w:ascii="宋体" w:hAnsi="宋体"/>
              </w:rPr>
              <w:t>分。</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9" w:hRule="atLeast"/>
          <w:jc w:val="center"/>
        </w:trPr>
        <w:tc>
          <w:tcPr>
            <w:tcW w:w="864" w:type="dxa"/>
            <w:vMerge w:val="continue"/>
            <w:tcBorders>
              <w:tl2br w:val="nil"/>
              <w:tr2bl w:val="nil"/>
            </w:tcBorders>
            <w:vAlign w:val="center"/>
          </w:tcPr>
          <w:p>
            <w:pPr>
              <w:jc w:val="center"/>
              <w:rPr>
                <w:sz w:val="22"/>
                <w:szCs w:val="22"/>
              </w:rPr>
            </w:pPr>
          </w:p>
        </w:tc>
        <w:tc>
          <w:tcPr>
            <w:tcW w:w="791" w:type="dxa"/>
            <w:vMerge w:val="continue"/>
            <w:tcBorders>
              <w:tl2br w:val="nil"/>
              <w:tr2bl w:val="nil"/>
            </w:tcBorders>
            <w:vAlign w:val="center"/>
          </w:tcPr>
          <w:p>
            <w:pPr>
              <w:spacing w:line="400" w:lineRule="atLeast"/>
              <w:jc w:val="center"/>
              <w:rPr>
                <w:rFonts w:ascii="宋体"/>
                <w:sz w:val="22"/>
                <w:szCs w:val="22"/>
              </w:rPr>
            </w:pPr>
          </w:p>
        </w:tc>
        <w:tc>
          <w:tcPr>
            <w:tcW w:w="1061" w:type="dxa"/>
            <w:gridSpan w:val="2"/>
            <w:vMerge w:val="continue"/>
            <w:tcBorders>
              <w:tl2br w:val="nil"/>
              <w:tr2bl w:val="nil"/>
            </w:tcBorders>
            <w:vAlign w:val="center"/>
          </w:tcPr>
          <w:p>
            <w:pPr>
              <w:spacing w:line="400" w:lineRule="atLeast"/>
              <w:jc w:val="center"/>
              <w:rPr>
                <w:rFonts w:ascii="宋体"/>
                <w:sz w:val="22"/>
                <w:szCs w:val="22"/>
              </w:rPr>
            </w:pPr>
          </w:p>
        </w:tc>
        <w:tc>
          <w:tcPr>
            <w:tcW w:w="1785" w:type="dxa"/>
            <w:gridSpan w:val="2"/>
            <w:tcBorders>
              <w:tl2br w:val="nil"/>
              <w:tr2bl w:val="nil"/>
            </w:tcBorders>
            <w:vAlign w:val="center"/>
          </w:tcPr>
          <w:p>
            <w:pPr>
              <w:spacing w:line="276" w:lineRule="auto"/>
              <w:ind w:right="113"/>
              <w:rPr>
                <w:rFonts w:ascii="宋体" w:cs="Arial"/>
                <w:snapToGrid w:val="0"/>
                <w:sz w:val="22"/>
                <w:szCs w:val="22"/>
              </w:rPr>
            </w:pPr>
            <w:r>
              <w:rPr>
                <w:sz w:val="22"/>
                <w:szCs w:val="22"/>
              </w:rPr>
              <w:t>招标项目勘察设计的特点、关键技术问题的认识及其对策措施</w:t>
            </w:r>
          </w:p>
        </w:tc>
        <w:tc>
          <w:tcPr>
            <w:tcW w:w="810" w:type="dxa"/>
            <w:tcBorders>
              <w:tl2br w:val="nil"/>
              <w:tr2bl w:val="nil"/>
            </w:tcBorders>
            <w:vAlign w:val="center"/>
          </w:tcPr>
          <w:p>
            <w:pPr>
              <w:jc w:val="center"/>
              <w:rPr>
                <w:rFonts w:ascii="宋体"/>
                <w:kern w:val="0"/>
                <w:sz w:val="22"/>
                <w:szCs w:val="22"/>
              </w:rPr>
            </w:pPr>
            <w:r>
              <w:rPr>
                <w:rFonts w:ascii="宋体" w:hAnsi="宋体"/>
              </w:rPr>
              <w:t>10分</w:t>
            </w:r>
          </w:p>
        </w:tc>
        <w:tc>
          <w:tcPr>
            <w:tcW w:w="4137" w:type="dxa"/>
            <w:tcBorders>
              <w:tl2br w:val="nil"/>
              <w:tr2bl w:val="nil"/>
            </w:tcBorders>
            <w:vAlign w:val="center"/>
          </w:tcPr>
          <w:p>
            <w:pPr>
              <w:rPr>
                <w:rFonts w:ascii="宋体" w:cs="宋体"/>
                <w:kern w:val="0"/>
                <w:sz w:val="22"/>
                <w:szCs w:val="22"/>
              </w:rPr>
            </w:pPr>
            <w:r>
              <w:rPr>
                <w:rFonts w:hint="eastAsia" w:ascii="宋体" w:hAnsi="宋体"/>
              </w:rPr>
              <w:t>招标项目勘察设计的特点、关键技术问题的认识及其对策措施基本合理，能够满足本项目实施要求的得</w:t>
            </w:r>
            <w:r>
              <w:rPr>
                <w:rFonts w:ascii="宋体" w:hAnsi="宋体"/>
              </w:rPr>
              <w:t>6</w:t>
            </w:r>
            <w:r>
              <w:rPr>
                <w:rFonts w:hint="eastAsia" w:ascii="宋体" w:hAnsi="宋体"/>
              </w:rPr>
              <w:t>～</w:t>
            </w:r>
            <w:r>
              <w:rPr>
                <w:rFonts w:ascii="宋体" w:hAnsi="宋体"/>
              </w:rPr>
              <w:t>8</w:t>
            </w:r>
            <w:r>
              <w:rPr>
                <w:rFonts w:hint="eastAsia" w:ascii="宋体" w:hAnsi="宋体"/>
              </w:rPr>
              <w:t>分；措施完善，能够完全满足本项目实施要求的得</w:t>
            </w:r>
            <w:r>
              <w:rPr>
                <w:rFonts w:ascii="宋体" w:hAnsi="宋体"/>
              </w:rPr>
              <w:t>8</w:t>
            </w:r>
            <w:r>
              <w:rPr>
                <w:rFonts w:hint="eastAsia" w:ascii="宋体" w:hAnsi="宋体"/>
              </w:rPr>
              <w:t>～</w:t>
            </w:r>
            <w:r>
              <w:rPr>
                <w:rFonts w:ascii="宋体" w:hAnsi="宋体"/>
              </w:rPr>
              <w:t>10</w:t>
            </w:r>
            <w:r>
              <w:rPr>
                <w:rFonts w:hint="eastAsia" w:ascii="宋体" w:hAnsi="宋体"/>
              </w:rPr>
              <w:t>分。</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9" w:hRule="atLeast"/>
          <w:jc w:val="center"/>
        </w:trPr>
        <w:tc>
          <w:tcPr>
            <w:tcW w:w="864" w:type="dxa"/>
            <w:vMerge w:val="continue"/>
            <w:tcBorders>
              <w:tl2br w:val="nil"/>
              <w:tr2bl w:val="nil"/>
            </w:tcBorders>
            <w:vAlign w:val="center"/>
          </w:tcPr>
          <w:p>
            <w:pPr>
              <w:jc w:val="center"/>
              <w:rPr>
                <w:sz w:val="22"/>
                <w:szCs w:val="22"/>
              </w:rPr>
            </w:pPr>
          </w:p>
        </w:tc>
        <w:tc>
          <w:tcPr>
            <w:tcW w:w="791" w:type="dxa"/>
            <w:vMerge w:val="continue"/>
            <w:tcBorders>
              <w:tl2br w:val="nil"/>
              <w:tr2bl w:val="nil"/>
            </w:tcBorders>
            <w:vAlign w:val="center"/>
          </w:tcPr>
          <w:p>
            <w:pPr>
              <w:spacing w:line="400" w:lineRule="atLeast"/>
              <w:jc w:val="center"/>
              <w:rPr>
                <w:rFonts w:ascii="宋体"/>
                <w:sz w:val="22"/>
                <w:szCs w:val="22"/>
              </w:rPr>
            </w:pPr>
          </w:p>
        </w:tc>
        <w:tc>
          <w:tcPr>
            <w:tcW w:w="1061" w:type="dxa"/>
            <w:gridSpan w:val="2"/>
            <w:vMerge w:val="continue"/>
            <w:tcBorders>
              <w:tl2br w:val="nil"/>
              <w:tr2bl w:val="nil"/>
            </w:tcBorders>
            <w:vAlign w:val="center"/>
          </w:tcPr>
          <w:p>
            <w:pPr>
              <w:spacing w:line="400" w:lineRule="atLeast"/>
              <w:jc w:val="center"/>
              <w:rPr>
                <w:rFonts w:ascii="宋体"/>
                <w:sz w:val="22"/>
                <w:szCs w:val="22"/>
              </w:rPr>
            </w:pPr>
          </w:p>
        </w:tc>
        <w:tc>
          <w:tcPr>
            <w:tcW w:w="1785" w:type="dxa"/>
            <w:gridSpan w:val="2"/>
            <w:tcBorders>
              <w:tl2br w:val="nil"/>
              <w:tr2bl w:val="nil"/>
            </w:tcBorders>
            <w:vAlign w:val="center"/>
          </w:tcPr>
          <w:p>
            <w:pPr>
              <w:spacing w:line="276" w:lineRule="auto"/>
              <w:ind w:right="113"/>
              <w:rPr>
                <w:rFonts w:ascii="宋体" w:cs="Arial"/>
                <w:snapToGrid w:val="0"/>
                <w:sz w:val="22"/>
                <w:szCs w:val="22"/>
              </w:rPr>
            </w:pPr>
            <w:r>
              <w:rPr>
                <w:rFonts w:ascii="宋体" w:hAnsi="宋体"/>
                <w:sz w:val="22"/>
                <w:szCs w:val="22"/>
              </w:rPr>
              <w:t>对项目沿线地质条件的认识和地勘、外勘工作措施</w:t>
            </w:r>
          </w:p>
        </w:tc>
        <w:tc>
          <w:tcPr>
            <w:tcW w:w="810" w:type="dxa"/>
            <w:tcBorders>
              <w:tl2br w:val="nil"/>
              <w:tr2bl w:val="nil"/>
            </w:tcBorders>
            <w:vAlign w:val="center"/>
          </w:tcPr>
          <w:p>
            <w:pPr>
              <w:jc w:val="center"/>
              <w:rPr>
                <w:rFonts w:ascii="宋体"/>
                <w:kern w:val="0"/>
                <w:sz w:val="22"/>
                <w:szCs w:val="22"/>
              </w:rPr>
            </w:pPr>
            <w:r>
              <w:rPr>
                <w:rFonts w:ascii="宋体" w:hAnsi="宋体"/>
              </w:rPr>
              <w:t>10分</w:t>
            </w:r>
          </w:p>
        </w:tc>
        <w:tc>
          <w:tcPr>
            <w:tcW w:w="4137" w:type="dxa"/>
            <w:tcBorders>
              <w:tl2br w:val="nil"/>
              <w:tr2bl w:val="nil"/>
            </w:tcBorders>
            <w:vAlign w:val="center"/>
          </w:tcPr>
          <w:p>
            <w:pPr>
              <w:widowControl/>
              <w:jc w:val="left"/>
              <w:rPr>
                <w:rFonts w:ascii="宋体" w:cs="宋体"/>
                <w:kern w:val="0"/>
                <w:sz w:val="22"/>
                <w:szCs w:val="22"/>
              </w:rPr>
            </w:pPr>
            <w:r>
              <w:rPr>
                <w:rFonts w:ascii="宋体" w:hAnsi="宋体"/>
              </w:rPr>
              <w:t>满足招标文件要求得6</w:t>
            </w:r>
            <w:r>
              <w:rPr>
                <w:rFonts w:hint="eastAsia" w:ascii="宋体" w:hAnsi="宋体"/>
              </w:rPr>
              <w:t>分，</w:t>
            </w:r>
            <w:r>
              <w:rPr>
                <w:rFonts w:hint="eastAsia" w:ascii="宋体" w:hAnsi="宋体"/>
                <w:kern w:val="0"/>
              </w:rPr>
              <w:t>对项目</w:t>
            </w:r>
            <w:r>
              <w:rPr>
                <w:rFonts w:hint="eastAsia" w:ascii="宋体" w:hAnsi="宋体"/>
              </w:rPr>
              <w:t>沿线地质条件的认识较为全面、地勘和外勘工作措施较好的加</w:t>
            </w:r>
            <w:r>
              <w:rPr>
                <w:rFonts w:ascii="宋体" w:hAnsi="宋体"/>
              </w:rPr>
              <w:t>0</w:t>
            </w:r>
            <w:r>
              <w:rPr>
                <w:rFonts w:hint="eastAsia" w:ascii="宋体" w:hAnsi="宋体"/>
              </w:rPr>
              <w:t>～</w:t>
            </w:r>
            <w:r>
              <w:rPr>
                <w:rFonts w:ascii="宋体" w:hAnsi="宋体"/>
              </w:rPr>
              <w:t>4</w:t>
            </w:r>
            <w:r>
              <w:rPr>
                <w:rFonts w:hint="eastAsia" w:ascii="宋体" w:hAnsi="宋体"/>
              </w:rPr>
              <w:t>分。</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9" w:hRule="atLeast"/>
          <w:jc w:val="center"/>
        </w:trPr>
        <w:tc>
          <w:tcPr>
            <w:tcW w:w="864" w:type="dxa"/>
            <w:vMerge w:val="continue"/>
            <w:tcBorders>
              <w:tl2br w:val="nil"/>
              <w:tr2bl w:val="nil"/>
            </w:tcBorders>
            <w:vAlign w:val="center"/>
          </w:tcPr>
          <w:p>
            <w:pPr>
              <w:jc w:val="center"/>
              <w:rPr>
                <w:sz w:val="22"/>
                <w:szCs w:val="22"/>
              </w:rPr>
            </w:pPr>
          </w:p>
        </w:tc>
        <w:tc>
          <w:tcPr>
            <w:tcW w:w="791" w:type="dxa"/>
            <w:vMerge w:val="continue"/>
            <w:tcBorders>
              <w:tl2br w:val="nil"/>
              <w:tr2bl w:val="nil"/>
            </w:tcBorders>
            <w:vAlign w:val="center"/>
          </w:tcPr>
          <w:p>
            <w:pPr>
              <w:spacing w:line="400" w:lineRule="atLeast"/>
              <w:jc w:val="center"/>
              <w:rPr>
                <w:rFonts w:ascii="宋体"/>
                <w:sz w:val="22"/>
                <w:szCs w:val="22"/>
              </w:rPr>
            </w:pPr>
          </w:p>
        </w:tc>
        <w:tc>
          <w:tcPr>
            <w:tcW w:w="1061" w:type="dxa"/>
            <w:gridSpan w:val="2"/>
            <w:vMerge w:val="continue"/>
            <w:tcBorders>
              <w:tl2br w:val="nil"/>
              <w:tr2bl w:val="nil"/>
            </w:tcBorders>
            <w:vAlign w:val="center"/>
          </w:tcPr>
          <w:p>
            <w:pPr>
              <w:spacing w:line="400" w:lineRule="atLeast"/>
              <w:jc w:val="center"/>
              <w:rPr>
                <w:rFonts w:ascii="宋体"/>
                <w:sz w:val="22"/>
                <w:szCs w:val="22"/>
              </w:rPr>
            </w:pPr>
          </w:p>
        </w:tc>
        <w:tc>
          <w:tcPr>
            <w:tcW w:w="1785" w:type="dxa"/>
            <w:gridSpan w:val="2"/>
            <w:tcBorders>
              <w:tl2br w:val="nil"/>
              <w:tr2bl w:val="nil"/>
            </w:tcBorders>
            <w:vAlign w:val="center"/>
          </w:tcPr>
          <w:p>
            <w:pPr>
              <w:spacing w:line="276" w:lineRule="auto"/>
              <w:ind w:right="113"/>
              <w:rPr>
                <w:rFonts w:ascii="宋体" w:cs="宋体"/>
                <w:kern w:val="0"/>
                <w:sz w:val="22"/>
                <w:szCs w:val="22"/>
              </w:rPr>
            </w:pPr>
            <w:r>
              <w:rPr>
                <w:sz w:val="22"/>
                <w:szCs w:val="22"/>
              </w:rPr>
              <w:t>勘察设计的质量</w:t>
            </w:r>
            <w:r>
              <w:rPr>
                <w:rFonts w:hint="eastAsia"/>
                <w:sz w:val="22"/>
                <w:szCs w:val="22"/>
              </w:rPr>
              <w:t>、</w:t>
            </w:r>
            <w:r>
              <w:rPr>
                <w:sz w:val="22"/>
                <w:szCs w:val="22"/>
              </w:rPr>
              <w:t>进度</w:t>
            </w:r>
            <w:r>
              <w:rPr>
                <w:rFonts w:hint="eastAsia"/>
                <w:sz w:val="22"/>
                <w:szCs w:val="22"/>
              </w:rPr>
              <w:t>、</w:t>
            </w:r>
            <w:r>
              <w:rPr>
                <w:sz w:val="22"/>
                <w:szCs w:val="22"/>
              </w:rPr>
              <w:t>安全保证措施</w:t>
            </w:r>
            <w:r>
              <w:rPr>
                <w:rFonts w:hint="eastAsia"/>
                <w:sz w:val="22"/>
                <w:szCs w:val="22"/>
              </w:rPr>
              <w:t>，</w:t>
            </w:r>
            <w:r>
              <w:rPr>
                <w:sz w:val="22"/>
                <w:szCs w:val="22"/>
              </w:rPr>
              <w:t>工作量及计划安排</w:t>
            </w:r>
          </w:p>
        </w:tc>
        <w:tc>
          <w:tcPr>
            <w:tcW w:w="810" w:type="dxa"/>
            <w:tcBorders>
              <w:tl2br w:val="nil"/>
              <w:tr2bl w:val="nil"/>
            </w:tcBorders>
            <w:vAlign w:val="center"/>
          </w:tcPr>
          <w:p>
            <w:pPr>
              <w:jc w:val="center"/>
              <w:rPr>
                <w:rFonts w:ascii="宋体"/>
                <w:kern w:val="0"/>
                <w:sz w:val="22"/>
                <w:szCs w:val="22"/>
              </w:rPr>
            </w:pPr>
            <w:r>
              <w:rPr>
                <w:rFonts w:hint="eastAsia" w:ascii="宋体" w:hAnsi="宋体"/>
              </w:rPr>
              <w:t>8</w:t>
            </w:r>
            <w:r>
              <w:rPr>
                <w:rFonts w:ascii="宋体" w:hAnsi="宋体"/>
              </w:rPr>
              <w:t>分</w:t>
            </w:r>
          </w:p>
        </w:tc>
        <w:tc>
          <w:tcPr>
            <w:tcW w:w="4137" w:type="dxa"/>
            <w:tcBorders>
              <w:tl2br w:val="nil"/>
              <w:tr2bl w:val="nil"/>
            </w:tcBorders>
            <w:vAlign w:val="center"/>
          </w:tcPr>
          <w:p>
            <w:pPr>
              <w:rPr>
                <w:rFonts w:ascii="宋体" w:cs="宋体"/>
                <w:kern w:val="0"/>
                <w:sz w:val="22"/>
                <w:szCs w:val="22"/>
              </w:rPr>
            </w:pPr>
            <w:r>
              <w:rPr>
                <w:rFonts w:ascii="宋体" w:hAnsi="宋体"/>
              </w:rPr>
              <w:t>满足招标文件要求得</w:t>
            </w:r>
            <w:r>
              <w:rPr>
                <w:rFonts w:hint="eastAsia" w:ascii="宋体" w:hAnsi="宋体"/>
              </w:rPr>
              <w:t>5分，</w:t>
            </w:r>
            <w:r>
              <w:rPr>
                <w:rFonts w:hint="eastAsia" w:ascii="宋体" w:hAnsi="宋体"/>
                <w:kern w:val="0"/>
              </w:rPr>
              <w:t>勘察设计的质量保证措施、进度保证措施完全</w:t>
            </w:r>
            <w:r>
              <w:rPr>
                <w:rFonts w:hint="eastAsia" w:ascii="宋体" w:hAnsi="宋体" w:cs="Arial"/>
                <w:snapToGrid w:val="0"/>
              </w:rPr>
              <w:t>满足设计要求的</w:t>
            </w:r>
            <w:r>
              <w:rPr>
                <w:rFonts w:hint="eastAsia" w:ascii="宋体" w:hAnsi="宋体"/>
              </w:rPr>
              <w:t>加</w:t>
            </w:r>
            <w:r>
              <w:rPr>
                <w:rFonts w:ascii="宋体" w:hAnsi="宋体"/>
              </w:rPr>
              <w:t>0</w:t>
            </w:r>
            <w:r>
              <w:rPr>
                <w:rFonts w:hint="eastAsia" w:ascii="宋体" w:hAnsi="宋体"/>
              </w:rPr>
              <w:t>～3分</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9" w:hRule="atLeast"/>
          <w:jc w:val="center"/>
        </w:trPr>
        <w:tc>
          <w:tcPr>
            <w:tcW w:w="864" w:type="dxa"/>
            <w:vMerge w:val="continue"/>
            <w:tcBorders>
              <w:tl2br w:val="nil"/>
              <w:tr2bl w:val="nil"/>
            </w:tcBorders>
            <w:vAlign w:val="center"/>
          </w:tcPr>
          <w:p>
            <w:pPr>
              <w:jc w:val="center"/>
              <w:rPr>
                <w:sz w:val="22"/>
                <w:szCs w:val="22"/>
              </w:rPr>
            </w:pPr>
          </w:p>
        </w:tc>
        <w:tc>
          <w:tcPr>
            <w:tcW w:w="791" w:type="dxa"/>
            <w:vMerge w:val="continue"/>
            <w:tcBorders>
              <w:tl2br w:val="nil"/>
              <w:tr2bl w:val="nil"/>
            </w:tcBorders>
            <w:vAlign w:val="center"/>
          </w:tcPr>
          <w:p>
            <w:pPr>
              <w:spacing w:line="400" w:lineRule="atLeast"/>
              <w:jc w:val="center"/>
              <w:rPr>
                <w:rFonts w:ascii="宋体"/>
                <w:sz w:val="22"/>
                <w:szCs w:val="22"/>
              </w:rPr>
            </w:pPr>
          </w:p>
        </w:tc>
        <w:tc>
          <w:tcPr>
            <w:tcW w:w="1061" w:type="dxa"/>
            <w:gridSpan w:val="2"/>
            <w:vMerge w:val="continue"/>
            <w:tcBorders>
              <w:tl2br w:val="nil"/>
              <w:tr2bl w:val="nil"/>
            </w:tcBorders>
            <w:vAlign w:val="center"/>
          </w:tcPr>
          <w:p>
            <w:pPr>
              <w:spacing w:line="400" w:lineRule="atLeast"/>
              <w:jc w:val="center"/>
              <w:rPr>
                <w:rFonts w:ascii="宋体"/>
                <w:sz w:val="22"/>
                <w:szCs w:val="22"/>
              </w:rPr>
            </w:pPr>
          </w:p>
        </w:tc>
        <w:tc>
          <w:tcPr>
            <w:tcW w:w="1785" w:type="dxa"/>
            <w:gridSpan w:val="2"/>
            <w:tcBorders>
              <w:tl2br w:val="nil"/>
              <w:tr2bl w:val="nil"/>
            </w:tcBorders>
            <w:vAlign w:val="center"/>
          </w:tcPr>
          <w:p>
            <w:pPr>
              <w:spacing w:line="276" w:lineRule="auto"/>
              <w:ind w:right="113"/>
              <w:rPr>
                <w:rFonts w:ascii="宋体" w:cs="宋体"/>
                <w:kern w:val="0"/>
                <w:sz w:val="22"/>
                <w:szCs w:val="22"/>
              </w:rPr>
            </w:pPr>
            <w:r>
              <w:rPr>
                <w:sz w:val="22"/>
                <w:szCs w:val="22"/>
              </w:rPr>
              <w:t>后续服务的安排及保证措施</w:t>
            </w:r>
          </w:p>
        </w:tc>
        <w:tc>
          <w:tcPr>
            <w:tcW w:w="810" w:type="dxa"/>
            <w:tcBorders>
              <w:tl2br w:val="nil"/>
              <w:tr2bl w:val="nil"/>
            </w:tcBorders>
            <w:vAlign w:val="center"/>
          </w:tcPr>
          <w:p>
            <w:pPr>
              <w:jc w:val="center"/>
              <w:rPr>
                <w:rFonts w:ascii="宋体"/>
                <w:kern w:val="0"/>
                <w:sz w:val="22"/>
                <w:szCs w:val="22"/>
              </w:rPr>
            </w:pPr>
            <w:r>
              <w:rPr>
                <w:rFonts w:hint="eastAsia" w:ascii="宋体" w:hAnsi="宋体"/>
              </w:rPr>
              <w:t>7</w:t>
            </w:r>
            <w:r>
              <w:rPr>
                <w:rFonts w:ascii="宋体" w:hAnsi="宋体"/>
              </w:rPr>
              <w:t>分</w:t>
            </w:r>
          </w:p>
        </w:tc>
        <w:tc>
          <w:tcPr>
            <w:tcW w:w="4137" w:type="dxa"/>
            <w:tcBorders>
              <w:tl2br w:val="nil"/>
              <w:tr2bl w:val="nil"/>
            </w:tcBorders>
            <w:vAlign w:val="center"/>
          </w:tcPr>
          <w:p>
            <w:pPr>
              <w:rPr>
                <w:rFonts w:ascii="宋体" w:cs="宋体"/>
                <w:kern w:val="0"/>
                <w:sz w:val="22"/>
                <w:szCs w:val="22"/>
              </w:rPr>
            </w:pPr>
            <w:r>
              <w:rPr>
                <w:rFonts w:ascii="宋体" w:hAnsi="宋体"/>
              </w:rPr>
              <w:t>满足招标文件要求得</w:t>
            </w:r>
            <w:r>
              <w:rPr>
                <w:rFonts w:hint="eastAsia" w:ascii="宋体" w:hAnsi="宋体"/>
              </w:rPr>
              <w:t>4.5分，后续服务措施完善，保障措施很好，完全满足本工程设计要求的加0～2.5分。</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9" w:hRule="atLeast"/>
          <w:jc w:val="center"/>
        </w:trPr>
        <w:tc>
          <w:tcPr>
            <w:tcW w:w="864" w:type="dxa"/>
            <w:vMerge w:val="restart"/>
            <w:tcBorders>
              <w:tl2br w:val="nil"/>
              <w:tr2bl w:val="nil"/>
            </w:tcBorders>
            <w:vAlign w:val="center"/>
          </w:tcPr>
          <w:p>
            <w:pPr>
              <w:jc w:val="center"/>
              <w:rPr>
                <w:sz w:val="22"/>
                <w:szCs w:val="22"/>
              </w:rPr>
            </w:pPr>
            <w:r>
              <w:rPr>
                <w:sz w:val="22"/>
                <w:szCs w:val="22"/>
              </w:rPr>
              <w:t>2.2.4（2）</w:t>
            </w:r>
          </w:p>
        </w:tc>
        <w:tc>
          <w:tcPr>
            <w:tcW w:w="791" w:type="dxa"/>
            <w:vMerge w:val="restart"/>
            <w:tcBorders>
              <w:tl2br w:val="nil"/>
              <w:tr2bl w:val="nil"/>
            </w:tcBorders>
            <w:vAlign w:val="center"/>
          </w:tcPr>
          <w:p>
            <w:pPr>
              <w:spacing w:line="400" w:lineRule="atLeast"/>
              <w:jc w:val="center"/>
              <w:rPr>
                <w:rFonts w:ascii="宋体"/>
                <w:sz w:val="22"/>
                <w:szCs w:val="22"/>
              </w:rPr>
            </w:pPr>
            <w:r>
              <w:rPr>
                <w:rFonts w:hint="eastAsia" w:ascii="宋体" w:hAnsi="宋体"/>
                <w:sz w:val="22"/>
                <w:szCs w:val="22"/>
              </w:rPr>
              <w:t>主要人员</w:t>
            </w:r>
          </w:p>
        </w:tc>
        <w:tc>
          <w:tcPr>
            <w:tcW w:w="1061" w:type="dxa"/>
            <w:gridSpan w:val="2"/>
            <w:vMerge w:val="restart"/>
            <w:tcBorders>
              <w:tl2br w:val="nil"/>
              <w:tr2bl w:val="nil"/>
            </w:tcBorders>
            <w:vAlign w:val="center"/>
          </w:tcPr>
          <w:p>
            <w:pPr>
              <w:jc w:val="center"/>
              <w:rPr>
                <w:rFonts w:ascii="宋体"/>
                <w:sz w:val="22"/>
                <w:szCs w:val="22"/>
              </w:rPr>
            </w:pPr>
            <w:r>
              <w:rPr>
                <w:rFonts w:ascii="宋体" w:hAnsi="宋体"/>
              </w:rPr>
              <w:t>20分</w:t>
            </w:r>
          </w:p>
        </w:tc>
        <w:tc>
          <w:tcPr>
            <w:tcW w:w="1785" w:type="dxa"/>
            <w:gridSpan w:val="2"/>
            <w:tcBorders>
              <w:tl2br w:val="nil"/>
              <w:tr2bl w:val="nil"/>
            </w:tcBorders>
            <w:vAlign w:val="center"/>
          </w:tcPr>
          <w:p>
            <w:pPr>
              <w:snapToGrid w:val="0"/>
              <w:ind w:left="-63" w:leftChars="-30" w:right="-107" w:rightChars="-51"/>
              <w:jc w:val="center"/>
              <w:rPr>
                <w:rFonts w:ascii="宋体"/>
                <w:sz w:val="22"/>
                <w:szCs w:val="22"/>
              </w:rPr>
            </w:pPr>
            <w:r>
              <w:rPr>
                <w:rFonts w:ascii="宋体" w:hAnsi="宋体"/>
              </w:rPr>
              <w:t>项目</w:t>
            </w:r>
            <w:r>
              <w:rPr>
                <w:rFonts w:ascii="宋体" w:hAnsi="宋体"/>
                <w:snapToGrid w:val="0"/>
              </w:rPr>
              <w:t>负责人</w:t>
            </w:r>
            <w:r>
              <w:rPr>
                <w:rFonts w:ascii="宋体" w:hAnsi="宋体"/>
              </w:rPr>
              <w:t>任职资格与业绩</w:t>
            </w:r>
          </w:p>
        </w:tc>
        <w:tc>
          <w:tcPr>
            <w:tcW w:w="810" w:type="dxa"/>
            <w:tcBorders>
              <w:tl2br w:val="nil"/>
              <w:tr2bl w:val="nil"/>
            </w:tcBorders>
            <w:vAlign w:val="center"/>
          </w:tcPr>
          <w:p>
            <w:pPr>
              <w:jc w:val="center"/>
              <w:rPr>
                <w:rFonts w:ascii="宋体"/>
                <w:sz w:val="22"/>
                <w:szCs w:val="22"/>
              </w:rPr>
            </w:pPr>
            <w:r>
              <w:rPr>
                <w:rFonts w:ascii="宋体" w:hAnsi="宋体"/>
              </w:rPr>
              <w:t>10分</w:t>
            </w:r>
          </w:p>
        </w:tc>
        <w:tc>
          <w:tcPr>
            <w:tcW w:w="4137" w:type="dxa"/>
            <w:tcBorders>
              <w:tl2br w:val="nil"/>
              <w:tr2bl w:val="nil"/>
            </w:tcBorders>
            <w:vAlign w:val="center"/>
          </w:tcPr>
          <w:p>
            <w:pPr>
              <w:rPr>
                <w:rFonts w:ascii="宋体" w:hAnsi="宋体"/>
              </w:rPr>
            </w:pPr>
            <w:r>
              <w:rPr>
                <w:rFonts w:hint="eastAsia" w:ascii="宋体" w:hAnsi="宋体"/>
              </w:rPr>
              <w:t>①满足资格审查条件项目负责人</w:t>
            </w:r>
            <w:r>
              <w:rPr>
                <w:rFonts w:ascii="宋体" w:hAnsi="宋体"/>
              </w:rPr>
              <w:t>最低要求</w:t>
            </w:r>
            <w:r>
              <w:rPr>
                <w:rFonts w:hint="eastAsia" w:ascii="宋体" w:hAnsi="宋体"/>
              </w:rPr>
              <w:t>得</w:t>
            </w:r>
            <w:r>
              <w:rPr>
                <w:rFonts w:ascii="宋体" w:hAnsi="宋体"/>
              </w:rPr>
              <w:t>6</w:t>
            </w:r>
            <w:r>
              <w:rPr>
                <w:rFonts w:hint="eastAsia" w:ascii="宋体" w:hAnsi="宋体"/>
              </w:rPr>
              <w:t>分。</w:t>
            </w:r>
          </w:p>
          <w:p>
            <w:pPr>
              <w:snapToGrid w:val="0"/>
              <w:rPr>
                <w:rFonts w:ascii="宋体" w:hAnsi="宋体"/>
              </w:rPr>
            </w:pPr>
            <w:r>
              <w:rPr>
                <w:rFonts w:hint="eastAsia" w:ascii="宋体" w:hAnsi="宋体"/>
              </w:rPr>
              <w:t>②</w:t>
            </w:r>
            <w:r>
              <w:rPr>
                <w:rFonts w:ascii="宋体" w:hAnsi="宋体"/>
              </w:rPr>
              <w:t>近5年每增加1条</w:t>
            </w:r>
            <w:r>
              <w:rPr>
                <w:rFonts w:hint="eastAsia" w:ascii="宋体" w:hAnsi="宋体"/>
              </w:rPr>
              <w:t>里程不少于50公里的</w:t>
            </w:r>
            <w:r>
              <w:rPr>
                <w:rFonts w:ascii="宋体" w:hAnsi="宋体"/>
              </w:rPr>
              <w:t>高速公路新建</w:t>
            </w:r>
            <w:r>
              <w:rPr>
                <w:rFonts w:hint="eastAsia" w:ascii="宋体" w:hAnsi="宋体"/>
              </w:rPr>
              <w:t>或改扩建</w:t>
            </w:r>
            <w:r>
              <w:rPr>
                <w:rFonts w:ascii="宋体" w:hAnsi="宋体"/>
              </w:rPr>
              <w:t xml:space="preserve">工程勘察设计项目负责人业绩加1分，满分1分； </w:t>
            </w:r>
          </w:p>
          <w:p>
            <w:pPr>
              <w:snapToGrid w:val="0"/>
              <w:ind w:left="1"/>
              <w:rPr>
                <w:rFonts w:ascii="宋体"/>
                <w:sz w:val="22"/>
                <w:szCs w:val="22"/>
              </w:rPr>
            </w:pPr>
            <w:r>
              <w:rPr>
                <w:rFonts w:hint="eastAsia" w:ascii="宋体" w:hAnsi="宋体"/>
              </w:rPr>
              <w:t>③</w:t>
            </w:r>
            <w:r>
              <w:rPr>
                <w:rFonts w:ascii="宋体" w:hAnsi="宋体"/>
              </w:rPr>
              <w:t>获得</w:t>
            </w:r>
            <w:r>
              <w:rPr>
                <w:rFonts w:hint="eastAsia" w:ascii="宋体" w:hAnsi="宋体"/>
              </w:rPr>
              <w:t>省级及以上行政主管部门颁发的“工程勘察设计大师”称号的加</w:t>
            </w:r>
            <w:r>
              <w:rPr>
                <w:rFonts w:ascii="宋体" w:hAnsi="宋体"/>
              </w:rPr>
              <w:t>3</w:t>
            </w:r>
            <w:r>
              <w:rPr>
                <w:rFonts w:hint="eastAsia" w:ascii="宋体" w:hAnsi="宋体"/>
              </w:rPr>
              <w:t>分</w:t>
            </w:r>
            <w:r>
              <w:rPr>
                <w:rFonts w:ascii="宋体" w:hAnsi="宋体"/>
              </w:rPr>
              <w:t>。</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9" w:hRule="atLeast"/>
          <w:jc w:val="center"/>
        </w:trPr>
        <w:tc>
          <w:tcPr>
            <w:tcW w:w="864" w:type="dxa"/>
            <w:vMerge w:val="continue"/>
            <w:tcBorders>
              <w:tl2br w:val="nil"/>
              <w:tr2bl w:val="nil"/>
            </w:tcBorders>
            <w:vAlign w:val="center"/>
          </w:tcPr>
          <w:p>
            <w:pPr>
              <w:jc w:val="center"/>
              <w:rPr>
                <w:sz w:val="22"/>
                <w:szCs w:val="22"/>
              </w:rPr>
            </w:pPr>
          </w:p>
        </w:tc>
        <w:tc>
          <w:tcPr>
            <w:tcW w:w="791" w:type="dxa"/>
            <w:vMerge w:val="continue"/>
            <w:tcBorders>
              <w:tl2br w:val="nil"/>
              <w:tr2bl w:val="nil"/>
            </w:tcBorders>
            <w:vAlign w:val="center"/>
          </w:tcPr>
          <w:p>
            <w:pPr>
              <w:spacing w:line="400" w:lineRule="atLeast"/>
              <w:jc w:val="center"/>
              <w:rPr>
                <w:rFonts w:ascii="宋体"/>
                <w:sz w:val="22"/>
                <w:szCs w:val="22"/>
              </w:rPr>
            </w:pPr>
          </w:p>
        </w:tc>
        <w:tc>
          <w:tcPr>
            <w:tcW w:w="1061" w:type="dxa"/>
            <w:gridSpan w:val="2"/>
            <w:vMerge w:val="continue"/>
            <w:tcBorders>
              <w:tl2br w:val="nil"/>
              <w:tr2bl w:val="nil"/>
            </w:tcBorders>
            <w:vAlign w:val="center"/>
          </w:tcPr>
          <w:p>
            <w:pPr>
              <w:jc w:val="center"/>
              <w:rPr>
                <w:rFonts w:ascii="宋体"/>
                <w:sz w:val="22"/>
                <w:szCs w:val="22"/>
              </w:rPr>
            </w:pPr>
          </w:p>
        </w:tc>
        <w:tc>
          <w:tcPr>
            <w:tcW w:w="1785" w:type="dxa"/>
            <w:gridSpan w:val="2"/>
            <w:tcBorders>
              <w:tl2br w:val="nil"/>
              <w:tr2bl w:val="nil"/>
            </w:tcBorders>
            <w:vAlign w:val="center"/>
          </w:tcPr>
          <w:p>
            <w:pPr>
              <w:snapToGrid w:val="0"/>
              <w:ind w:left="-63" w:leftChars="-30" w:right="-107" w:rightChars="-51"/>
              <w:jc w:val="center"/>
              <w:rPr>
                <w:rFonts w:ascii="宋体"/>
                <w:sz w:val="22"/>
                <w:szCs w:val="22"/>
              </w:rPr>
            </w:pPr>
            <w:r>
              <w:rPr>
                <w:rFonts w:hint="eastAsia" w:ascii="宋体" w:hAnsi="宋体"/>
              </w:rPr>
              <w:t>技术</w:t>
            </w:r>
            <w:r>
              <w:rPr>
                <w:rFonts w:ascii="宋体" w:hAnsi="宋体"/>
                <w:snapToGrid w:val="0"/>
              </w:rPr>
              <w:t>负责人</w:t>
            </w:r>
            <w:r>
              <w:rPr>
                <w:rFonts w:ascii="宋体" w:hAnsi="宋体"/>
              </w:rPr>
              <w:t>任职资格与业绩</w:t>
            </w:r>
          </w:p>
        </w:tc>
        <w:tc>
          <w:tcPr>
            <w:tcW w:w="810" w:type="dxa"/>
            <w:tcBorders>
              <w:tl2br w:val="nil"/>
              <w:tr2bl w:val="nil"/>
            </w:tcBorders>
            <w:vAlign w:val="center"/>
          </w:tcPr>
          <w:p>
            <w:pPr>
              <w:jc w:val="center"/>
              <w:rPr>
                <w:rFonts w:ascii="宋体"/>
                <w:sz w:val="22"/>
                <w:szCs w:val="22"/>
              </w:rPr>
            </w:pPr>
            <w:r>
              <w:rPr>
                <w:rFonts w:ascii="宋体" w:hAnsi="宋体"/>
              </w:rPr>
              <w:t>10分</w:t>
            </w:r>
          </w:p>
        </w:tc>
        <w:tc>
          <w:tcPr>
            <w:tcW w:w="4137" w:type="dxa"/>
            <w:tcBorders>
              <w:tl2br w:val="nil"/>
              <w:tr2bl w:val="nil"/>
            </w:tcBorders>
            <w:vAlign w:val="center"/>
          </w:tcPr>
          <w:p>
            <w:pPr>
              <w:rPr>
                <w:rFonts w:ascii="宋体" w:hAnsi="宋体"/>
              </w:rPr>
            </w:pPr>
            <w:r>
              <w:rPr>
                <w:rFonts w:hint="eastAsia" w:ascii="宋体" w:hAnsi="宋体"/>
              </w:rPr>
              <w:t>①满足资格审查条件技术负责人</w:t>
            </w:r>
            <w:r>
              <w:rPr>
                <w:rFonts w:ascii="宋体" w:hAnsi="宋体"/>
              </w:rPr>
              <w:t>最低要求</w:t>
            </w:r>
            <w:r>
              <w:rPr>
                <w:rFonts w:hint="eastAsia" w:ascii="宋体" w:hAnsi="宋体"/>
              </w:rPr>
              <w:t>得</w:t>
            </w:r>
            <w:r>
              <w:rPr>
                <w:rFonts w:ascii="宋体" w:hAnsi="宋体"/>
              </w:rPr>
              <w:t>6</w:t>
            </w:r>
            <w:r>
              <w:rPr>
                <w:rFonts w:hint="eastAsia" w:ascii="宋体" w:hAnsi="宋体"/>
              </w:rPr>
              <w:t>分。</w:t>
            </w:r>
          </w:p>
          <w:p>
            <w:pPr>
              <w:snapToGrid w:val="0"/>
              <w:rPr>
                <w:rFonts w:ascii="宋体" w:hAnsi="宋体"/>
              </w:rPr>
            </w:pPr>
            <w:r>
              <w:rPr>
                <w:rFonts w:hint="eastAsia" w:ascii="宋体" w:hAnsi="宋体"/>
              </w:rPr>
              <w:t>②</w:t>
            </w:r>
            <w:r>
              <w:rPr>
                <w:rFonts w:ascii="宋体" w:hAnsi="宋体"/>
              </w:rPr>
              <w:t>近5年每增加1条</w:t>
            </w:r>
            <w:r>
              <w:rPr>
                <w:rFonts w:hint="eastAsia" w:ascii="宋体" w:hAnsi="宋体"/>
              </w:rPr>
              <w:t>里程不少于50公里的</w:t>
            </w:r>
            <w:r>
              <w:rPr>
                <w:rFonts w:ascii="宋体" w:hAnsi="宋体"/>
              </w:rPr>
              <w:t>高速公路新建</w:t>
            </w:r>
            <w:r>
              <w:rPr>
                <w:rFonts w:hint="eastAsia" w:ascii="宋体" w:hAnsi="宋体"/>
              </w:rPr>
              <w:t>或改扩建</w:t>
            </w:r>
            <w:r>
              <w:rPr>
                <w:rFonts w:ascii="宋体" w:hAnsi="宋体"/>
              </w:rPr>
              <w:t>工程勘察设计项目负责人</w:t>
            </w:r>
            <w:r>
              <w:rPr>
                <w:rFonts w:hint="eastAsia" w:ascii="宋体" w:hAnsi="宋体"/>
              </w:rPr>
              <w:t>或技术负责人</w:t>
            </w:r>
            <w:r>
              <w:rPr>
                <w:rFonts w:ascii="宋体" w:hAnsi="宋体"/>
              </w:rPr>
              <w:t xml:space="preserve">业绩加1分，满分1分； </w:t>
            </w:r>
          </w:p>
          <w:p>
            <w:pPr>
              <w:rPr>
                <w:rFonts w:ascii="宋体"/>
                <w:sz w:val="22"/>
                <w:szCs w:val="22"/>
              </w:rPr>
            </w:pPr>
            <w:r>
              <w:rPr>
                <w:rFonts w:hint="eastAsia" w:ascii="宋体" w:hAnsi="宋体"/>
              </w:rPr>
              <w:t>③</w:t>
            </w:r>
            <w:r>
              <w:rPr>
                <w:rFonts w:ascii="宋体" w:hAnsi="宋体"/>
              </w:rPr>
              <w:t>获得</w:t>
            </w:r>
            <w:r>
              <w:rPr>
                <w:rFonts w:hint="eastAsia" w:ascii="宋体" w:hAnsi="宋体"/>
              </w:rPr>
              <w:t>省级及以上行政主管部门颁发的“工程勘察设计大师”称号的加</w:t>
            </w:r>
            <w:r>
              <w:rPr>
                <w:rFonts w:ascii="宋体" w:hAnsi="宋体"/>
              </w:rPr>
              <w:t>3</w:t>
            </w:r>
            <w:r>
              <w:rPr>
                <w:rFonts w:hint="eastAsia" w:ascii="宋体" w:hAnsi="宋体"/>
              </w:rPr>
              <w:t>分</w:t>
            </w:r>
            <w:r>
              <w:rPr>
                <w:rFonts w:ascii="宋体" w:hAnsi="宋体"/>
              </w:rPr>
              <w:t>。</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7" w:hRule="atLeast"/>
          <w:jc w:val="center"/>
        </w:trPr>
        <w:tc>
          <w:tcPr>
            <w:tcW w:w="864" w:type="dxa"/>
            <w:tcBorders>
              <w:tl2br w:val="nil"/>
              <w:tr2bl w:val="nil"/>
            </w:tcBorders>
            <w:vAlign w:val="center"/>
          </w:tcPr>
          <w:p>
            <w:pPr>
              <w:jc w:val="center"/>
              <w:rPr>
                <w:sz w:val="22"/>
                <w:szCs w:val="22"/>
              </w:rPr>
            </w:pPr>
            <w:r>
              <w:rPr>
                <w:sz w:val="22"/>
                <w:szCs w:val="22"/>
              </w:rPr>
              <w:t>2.2.4（3）</w:t>
            </w:r>
          </w:p>
        </w:tc>
        <w:tc>
          <w:tcPr>
            <w:tcW w:w="791" w:type="dxa"/>
            <w:tcBorders>
              <w:tl2br w:val="nil"/>
              <w:tr2bl w:val="nil"/>
            </w:tcBorders>
            <w:vAlign w:val="center"/>
          </w:tcPr>
          <w:p>
            <w:pPr>
              <w:spacing w:line="400" w:lineRule="atLeast"/>
              <w:jc w:val="center"/>
              <w:rPr>
                <w:rFonts w:ascii="宋体"/>
                <w:sz w:val="22"/>
                <w:szCs w:val="22"/>
              </w:rPr>
            </w:pPr>
            <w:r>
              <w:rPr>
                <w:rFonts w:hint="eastAsia" w:ascii="宋体" w:hAnsi="宋体"/>
                <w:sz w:val="22"/>
                <w:szCs w:val="22"/>
              </w:rPr>
              <w:t>评标价</w:t>
            </w:r>
          </w:p>
        </w:tc>
        <w:tc>
          <w:tcPr>
            <w:tcW w:w="1061" w:type="dxa"/>
            <w:gridSpan w:val="2"/>
            <w:tcBorders>
              <w:tl2br w:val="nil"/>
              <w:tr2bl w:val="nil"/>
            </w:tcBorders>
            <w:vAlign w:val="center"/>
          </w:tcPr>
          <w:p>
            <w:pPr>
              <w:spacing w:line="400" w:lineRule="atLeast"/>
              <w:jc w:val="center"/>
              <w:rPr>
                <w:rFonts w:ascii="宋体"/>
                <w:sz w:val="22"/>
                <w:szCs w:val="22"/>
              </w:rPr>
            </w:pPr>
            <w:r>
              <w:rPr>
                <w:rFonts w:ascii="宋体" w:hAnsi="宋体"/>
                <w:sz w:val="22"/>
                <w:szCs w:val="22"/>
                <w:u w:val="single"/>
              </w:rPr>
              <w:t>10</w:t>
            </w:r>
            <w:r>
              <w:rPr>
                <w:rFonts w:hint="eastAsia" w:ascii="宋体" w:hAnsi="宋体"/>
                <w:sz w:val="22"/>
                <w:szCs w:val="22"/>
              </w:rPr>
              <w:t>分</w:t>
            </w:r>
          </w:p>
        </w:tc>
        <w:tc>
          <w:tcPr>
            <w:tcW w:w="6732" w:type="dxa"/>
            <w:gridSpan w:val="4"/>
            <w:tcBorders>
              <w:tl2br w:val="nil"/>
              <w:tr2bl w:val="nil"/>
            </w:tcBorders>
            <w:vAlign w:val="center"/>
          </w:tcPr>
          <w:p>
            <w:pPr>
              <w:adjustRightInd w:val="0"/>
              <w:ind w:firstLine="210"/>
              <w:jc w:val="left"/>
              <w:rPr>
                <w:rFonts w:ascii="宋体" w:hAnsi="宋体"/>
              </w:rPr>
            </w:pPr>
            <w:r>
              <w:rPr>
                <w:rFonts w:ascii="宋体" w:hAnsi="宋体"/>
              </w:rPr>
              <w:t>评标价得分计算：</w:t>
            </w:r>
          </w:p>
          <w:p>
            <w:pPr>
              <w:widowControl/>
              <w:ind w:firstLine="210"/>
              <w:jc w:val="left"/>
              <w:rPr>
                <w:rFonts w:ascii="宋体" w:hAnsi="宋体"/>
              </w:rPr>
            </w:pPr>
            <w:r>
              <w:rPr>
                <w:rFonts w:hint="eastAsia" w:ascii="宋体" w:hAnsi="宋体"/>
              </w:rPr>
              <w:t>（1）如果投标人的投标报价＞评标基准价，则</w:t>
            </w:r>
            <w:r>
              <w:rPr>
                <w:rFonts w:ascii="宋体" w:hAnsi="宋体"/>
              </w:rPr>
              <w:t>评标价得分＝F－</w:t>
            </w:r>
            <w:r>
              <w:rPr>
                <w:rFonts w:hint="eastAsia" w:ascii="宋体" w:hAnsi="宋体"/>
              </w:rPr>
              <w:t>偏差率×</w:t>
            </w:r>
            <w:r>
              <w:rPr>
                <w:rFonts w:ascii="宋体" w:hAnsi="宋体"/>
              </w:rPr>
              <w:t>100</w:t>
            </w:r>
            <w:r>
              <w:rPr>
                <w:rFonts w:hint="eastAsia" w:ascii="宋体" w:hAnsi="宋体"/>
              </w:rPr>
              <w:t>×</w:t>
            </w:r>
            <w:r>
              <w:rPr>
                <w:rFonts w:ascii="宋体" w:hAnsi="宋体"/>
              </w:rPr>
              <w:t>E1</w:t>
            </w:r>
          </w:p>
          <w:p>
            <w:pPr>
              <w:widowControl/>
              <w:ind w:firstLine="210"/>
              <w:jc w:val="left"/>
              <w:rPr>
                <w:rFonts w:ascii="宋体" w:hAnsi="宋体"/>
              </w:rPr>
            </w:pPr>
            <w:r>
              <w:rPr>
                <w:rFonts w:hint="eastAsia" w:ascii="宋体" w:hAnsi="宋体"/>
              </w:rPr>
              <w:t>（</w:t>
            </w:r>
            <w:r>
              <w:rPr>
                <w:rFonts w:ascii="宋体" w:hAnsi="宋体"/>
              </w:rPr>
              <w:t>2</w:t>
            </w:r>
            <w:r>
              <w:rPr>
                <w:rFonts w:hint="eastAsia" w:ascii="宋体" w:hAnsi="宋体"/>
              </w:rPr>
              <w:t>）如果投标人的投标报价≤评标基准价，则</w:t>
            </w:r>
            <w:r>
              <w:rPr>
                <w:rFonts w:ascii="宋体" w:hAnsi="宋体"/>
              </w:rPr>
              <w:t>评标价得分＝F+</w:t>
            </w:r>
            <w:r>
              <w:rPr>
                <w:rFonts w:hint="eastAsia" w:ascii="宋体" w:hAnsi="宋体"/>
              </w:rPr>
              <w:t>偏差率×</w:t>
            </w:r>
            <w:r>
              <w:rPr>
                <w:rFonts w:ascii="宋体" w:hAnsi="宋体"/>
              </w:rPr>
              <w:t>100</w:t>
            </w:r>
            <w:r>
              <w:rPr>
                <w:rFonts w:hint="eastAsia" w:ascii="宋体" w:hAnsi="宋体"/>
              </w:rPr>
              <w:t>×</w:t>
            </w:r>
            <w:r>
              <w:rPr>
                <w:rFonts w:ascii="宋体" w:hAnsi="宋体"/>
              </w:rPr>
              <w:t>E2</w:t>
            </w:r>
          </w:p>
          <w:p>
            <w:pPr>
              <w:snapToGrid w:val="0"/>
              <w:ind w:firstLine="420" w:firstLineChars="200"/>
              <w:rPr>
                <w:rFonts w:ascii="宋体" w:hAnsi="宋体"/>
                <w:sz w:val="22"/>
                <w:szCs w:val="22"/>
              </w:rPr>
            </w:pPr>
            <w:r>
              <w:rPr>
                <w:rFonts w:ascii="宋体" w:hAnsi="宋体"/>
              </w:rPr>
              <w:t>其中</w:t>
            </w:r>
            <w:r>
              <w:rPr>
                <w:rFonts w:hint="eastAsia" w:ascii="宋体" w:hAnsi="宋体"/>
              </w:rPr>
              <w:t>：</w:t>
            </w:r>
            <w:r>
              <w:rPr>
                <w:rFonts w:ascii="宋体" w:hAnsi="宋体"/>
              </w:rPr>
              <w:t>F</w:t>
            </w:r>
            <w:r>
              <w:rPr>
                <w:rFonts w:hint="eastAsia" w:ascii="宋体" w:hAnsi="宋体"/>
              </w:rPr>
              <w:t>是评标价所占的权重分值，E</w:t>
            </w:r>
            <w:r>
              <w:rPr>
                <w:rFonts w:ascii="宋体" w:hAnsi="宋体"/>
              </w:rPr>
              <w:t>1</w:t>
            </w:r>
            <w:r>
              <w:rPr>
                <w:rFonts w:hint="eastAsia" w:ascii="宋体" w:hAnsi="宋体"/>
              </w:rPr>
              <w:t>是评标价每高于评标基准价一个百分点的扣分值，E</w:t>
            </w:r>
            <w:r>
              <w:rPr>
                <w:rFonts w:ascii="宋体" w:hAnsi="宋体"/>
              </w:rPr>
              <w:t>2</w:t>
            </w:r>
            <w:r>
              <w:rPr>
                <w:rFonts w:hint="eastAsia" w:ascii="宋体" w:hAnsi="宋体"/>
              </w:rPr>
              <w:t>是评标价每低于评标基准价一个百分点的扣分值，F</w:t>
            </w:r>
            <w:r>
              <w:rPr>
                <w:rFonts w:ascii="宋体" w:hAnsi="宋体"/>
              </w:rPr>
              <w:t>=10</w:t>
            </w:r>
            <w:r>
              <w:rPr>
                <w:rFonts w:hint="eastAsia" w:ascii="宋体" w:hAnsi="宋体"/>
              </w:rPr>
              <w:t>，</w:t>
            </w:r>
            <w:r>
              <w:rPr>
                <w:rFonts w:ascii="宋体" w:hAnsi="宋体"/>
              </w:rPr>
              <w:t>E1</w:t>
            </w:r>
            <w:r>
              <w:rPr>
                <w:rFonts w:hint="eastAsia" w:ascii="宋体" w:hAnsi="宋体"/>
              </w:rPr>
              <w:t>=</w:t>
            </w:r>
            <w:r>
              <w:rPr>
                <w:rFonts w:ascii="宋体" w:hAnsi="宋体"/>
              </w:rPr>
              <w:t>0.2  E2</w:t>
            </w:r>
            <w:r>
              <w:rPr>
                <w:rFonts w:hint="eastAsia" w:ascii="宋体" w:hAnsi="宋体"/>
              </w:rPr>
              <w:t>=</w:t>
            </w:r>
            <w:r>
              <w:rPr>
                <w:rFonts w:ascii="宋体" w:hAnsi="宋体"/>
              </w:rPr>
              <w:t>0.1</w:t>
            </w:r>
            <w:r>
              <w:rPr>
                <w:rFonts w:hint="eastAsia" w:ascii="宋体" w:hAnsi="宋体"/>
              </w:rPr>
              <w:t>，评标价得分最低为0分，评标价得分保留小数点后两位，小数点后第三位四舍五入</w:t>
            </w:r>
            <w:r>
              <w:rPr>
                <w:rFonts w:ascii="宋体" w:hAnsi="宋体"/>
              </w:rPr>
              <w:t>。</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jc w:val="center"/>
        </w:trPr>
        <w:tc>
          <w:tcPr>
            <w:tcW w:w="864" w:type="dxa"/>
            <w:vMerge w:val="restart"/>
            <w:tcBorders>
              <w:tl2br w:val="nil"/>
              <w:tr2bl w:val="nil"/>
            </w:tcBorders>
            <w:vAlign w:val="center"/>
          </w:tcPr>
          <w:p>
            <w:pPr>
              <w:jc w:val="center"/>
              <w:rPr>
                <w:sz w:val="22"/>
                <w:szCs w:val="22"/>
              </w:rPr>
            </w:pPr>
            <w:r>
              <w:rPr>
                <w:sz w:val="22"/>
                <w:szCs w:val="22"/>
              </w:rPr>
              <w:t>2.2.4（4）</w:t>
            </w:r>
          </w:p>
        </w:tc>
        <w:tc>
          <w:tcPr>
            <w:tcW w:w="791" w:type="dxa"/>
            <w:vMerge w:val="restart"/>
            <w:tcBorders>
              <w:tl2br w:val="nil"/>
              <w:tr2bl w:val="nil"/>
            </w:tcBorders>
            <w:vAlign w:val="center"/>
          </w:tcPr>
          <w:p>
            <w:pPr>
              <w:jc w:val="center"/>
              <w:rPr>
                <w:rFonts w:ascii="宋体"/>
                <w:sz w:val="22"/>
                <w:szCs w:val="22"/>
              </w:rPr>
            </w:pPr>
            <w:r>
              <w:rPr>
                <w:rFonts w:hint="eastAsia" w:ascii="宋体" w:hAnsi="宋体"/>
                <w:sz w:val="22"/>
                <w:szCs w:val="22"/>
              </w:rPr>
              <w:t>其他因素</w:t>
            </w:r>
          </w:p>
        </w:tc>
        <w:tc>
          <w:tcPr>
            <w:tcW w:w="776" w:type="dxa"/>
            <w:tcBorders>
              <w:tl2br w:val="nil"/>
              <w:tr2bl w:val="nil"/>
            </w:tcBorders>
            <w:vAlign w:val="center"/>
          </w:tcPr>
          <w:p>
            <w:pPr>
              <w:jc w:val="center"/>
              <w:rPr>
                <w:rFonts w:ascii="宋体"/>
                <w:sz w:val="22"/>
                <w:szCs w:val="22"/>
              </w:rPr>
            </w:pPr>
            <w:r>
              <w:rPr>
                <w:rFonts w:ascii="宋体" w:hAnsi="宋体"/>
              </w:rPr>
              <w:t>业绩</w:t>
            </w:r>
          </w:p>
        </w:tc>
        <w:tc>
          <w:tcPr>
            <w:tcW w:w="720" w:type="dxa"/>
            <w:gridSpan w:val="2"/>
            <w:tcBorders>
              <w:tl2br w:val="nil"/>
              <w:tr2bl w:val="nil"/>
            </w:tcBorders>
            <w:vAlign w:val="center"/>
          </w:tcPr>
          <w:p>
            <w:pPr>
              <w:jc w:val="center"/>
              <w:rPr>
                <w:rFonts w:ascii="宋体"/>
                <w:sz w:val="22"/>
                <w:szCs w:val="22"/>
              </w:rPr>
            </w:pPr>
            <w:r>
              <w:rPr>
                <w:rFonts w:hint="eastAsia" w:ascii="宋体" w:hAnsi="宋体"/>
              </w:rPr>
              <w:t>1</w:t>
            </w:r>
            <w:r>
              <w:rPr>
                <w:rFonts w:ascii="宋体" w:hAnsi="宋体"/>
              </w:rPr>
              <w:t>4分</w:t>
            </w:r>
          </w:p>
        </w:tc>
        <w:tc>
          <w:tcPr>
            <w:tcW w:w="6297" w:type="dxa"/>
            <w:gridSpan w:val="3"/>
            <w:tcBorders>
              <w:tl2br w:val="nil"/>
              <w:tr2bl w:val="nil"/>
            </w:tcBorders>
            <w:vAlign w:val="center"/>
          </w:tcPr>
          <w:p>
            <w:r>
              <w:t>1</w:t>
            </w:r>
            <w:r>
              <w:rPr>
                <w:rFonts w:hint="eastAsia"/>
              </w:rPr>
              <w:t>.满足资格审查条件业绩最低要求得8.4分。</w:t>
            </w:r>
          </w:p>
          <w:p>
            <w:pPr>
              <w:snapToGrid w:val="0"/>
              <w:ind w:left="1"/>
            </w:pPr>
            <w:r>
              <w:rPr>
                <w:rFonts w:hint="eastAsia"/>
              </w:rPr>
              <w:t>2.近5年（2</w:t>
            </w:r>
            <w:r>
              <w:t>015</w:t>
            </w:r>
            <w:r>
              <w:rPr>
                <w:rFonts w:hint="eastAsia"/>
              </w:rPr>
              <w:t>年5月1日起至今）每增加1条里程不少于50公里的高速公路新建或改扩建主体工程勘察设计业绩加2.1分，加满4.2分为止。</w:t>
            </w:r>
          </w:p>
          <w:p>
            <w:pPr>
              <w:pStyle w:val="2"/>
            </w:pPr>
            <w:r>
              <w:rPr>
                <w:rFonts w:hint="eastAsia"/>
              </w:rPr>
              <w:t>3.</w:t>
            </w:r>
            <w:r>
              <w:t>近5年</w:t>
            </w:r>
            <w:r>
              <w:rPr>
                <w:rFonts w:hint="eastAsia"/>
              </w:rPr>
              <w:t>（2</w:t>
            </w:r>
            <w:r>
              <w:t>015</w:t>
            </w:r>
            <w:r>
              <w:rPr>
                <w:rFonts w:hint="eastAsia"/>
              </w:rPr>
              <w:t>年5月1日起至今）</w:t>
            </w:r>
            <w:r>
              <w:t>每增加1</w:t>
            </w:r>
            <w:r>
              <w:rPr>
                <w:rFonts w:hint="eastAsia"/>
              </w:rPr>
              <w:t>座公路特大桥施工图勘察设计业绩</w:t>
            </w:r>
            <w:r>
              <w:t>加</w:t>
            </w:r>
            <w:r>
              <w:rPr>
                <w:rFonts w:hint="eastAsia"/>
              </w:rPr>
              <w:t>1.4</w:t>
            </w:r>
            <w:r>
              <w:t>分，加满</w:t>
            </w:r>
            <w:r>
              <w:rPr>
                <w:rFonts w:hint="eastAsia"/>
              </w:rPr>
              <w:t>1.4分为止</w:t>
            </w:r>
            <w:r>
              <w:t>。</w:t>
            </w:r>
          </w:p>
          <w:p>
            <w:pPr>
              <w:pStyle w:val="2"/>
            </w:pPr>
            <w:r>
              <w:rPr>
                <w:rFonts w:hint="eastAsia"/>
              </w:rPr>
              <w:t>注：同时满足第2、3项加分条件的业绩可重复加分。</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jc w:val="center"/>
        </w:trPr>
        <w:tc>
          <w:tcPr>
            <w:tcW w:w="864" w:type="dxa"/>
            <w:vMerge w:val="continue"/>
            <w:tcBorders>
              <w:tl2br w:val="nil"/>
              <w:tr2bl w:val="nil"/>
            </w:tcBorders>
            <w:vAlign w:val="center"/>
          </w:tcPr>
          <w:p>
            <w:pPr>
              <w:jc w:val="center"/>
              <w:rPr>
                <w:rFonts w:ascii="宋体"/>
                <w:sz w:val="22"/>
                <w:szCs w:val="22"/>
              </w:rPr>
            </w:pPr>
          </w:p>
        </w:tc>
        <w:tc>
          <w:tcPr>
            <w:tcW w:w="791" w:type="dxa"/>
            <w:vMerge w:val="continue"/>
            <w:tcBorders>
              <w:tl2br w:val="nil"/>
              <w:tr2bl w:val="nil"/>
            </w:tcBorders>
            <w:vAlign w:val="center"/>
          </w:tcPr>
          <w:p>
            <w:pPr>
              <w:jc w:val="center"/>
              <w:rPr>
                <w:rFonts w:ascii="宋体"/>
                <w:sz w:val="22"/>
                <w:szCs w:val="22"/>
              </w:rPr>
            </w:pPr>
          </w:p>
        </w:tc>
        <w:tc>
          <w:tcPr>
            <w:tcW w:w="776" w:type="dxa"/>
            <w:tcBorders>
              <w:bottom w:val="single" w:color="000000" w:sz="8" w:space="0"/>
              <w:tl2br w:val="nil"/>
              <w:tr2bl w:val="nil"/>
            </w:tcBorders>
            <w:vAlign w:val="center"/>
          </w:tcPr>
          <w:p>
            <w:pPr>
              <w:jc w:val="center"/>
              <w:rPr>
                <w:rFonts w:ascii="宋体"/>
                <w:sz w:val="22"/>
                <w:szCs w:val="22"/>
              </w:rPr>
            </w:pPr>
            <w:r>
              <w:rPr>
                <w:rFonts w:ascii="宋体" w:hAnsi="宋体"/>
              </w:rPr>
              <w:t>履约信誉</w:t>
            </w:r>
          </w:p>
        </w:tc>
        <w:tc>
          <w:tcPr>
            <w:tcW w:w="720" w:type="dxa"/>
            <w:gridSpan w:val="2"/>
            <w:tcBorders>
              <w:bottom w:val="single" w:color="000000" w:sz="8" w:space="0"/>
              <w:tl2br w:val="nil"/>
              <w:tr2bl w:val="nil"/>
            </w:tcBorders>
            <w:vAlign w:val="center"/>
          </w:tcPr>
          <w:p>
            <w:pPr>
              <w:jc w:val="center"/>
              <w:rPr>
                <w:rFonts w:ascii="宋体"/>
                <w:sz w:val="22"/>
                <w:szCs w:val="22"/>
              </w:rPr>
            </w:pPr>
            <w:r>
              <w:rPr>
                <w:rFonts w:hint="eastAsia" w:ascii="宋体" w:hAnsi="宋体"/>
              </w:rPr>
              <w:t>3</w:t>
            </w:r>
            <w:r>
              <w:rPr>
                <w:rFonts w:ascii="宋体" w:hAnsi="宋体"/>
              </w:rPr>
              <w:t>分</w:t>
            </w:r>
          </w:p>
        </w:tc>
        <w:tc>
          <w:tcPr>
            <w:tcW w:w="6297" w:type="dxa"/>
            <w:gridSpan w:val="3"/>
            <w:tcBorders>
              <w:tl2br w:val="nil"/>
              <w:tr2bl w:val="nil"/>
            </w:tcBorders>
            <w:vAlign w:val="center"/>
          </w:tcPr>
          <w:p>
            <w:pPr>
              <w:snapToGrid w:val="0"/>
              <w:rPr>
                <w:rFonts w:ascii="宋体" w:hAnsi="宋体"/>
              </w:rPr>
            </w:pPr>
            <w:r>
              <w:rPr>
                <w:rFonts w:ascii="宋体" w:hAnsi="宋体"/>
              </w:rPr>
              <w:t>按以下原则确定的公路设计企业信用评价等级为AA级的得</w:t>
            </w:r>
            <w:r>
              <w:rPr>
                <w:rFonts w:hint="eastAsia" w:ascii="宋体" w:hAnsi="宋体"/>
              </w:rPr>
              <w:t>3</w:t>
            </w:r>
            <w:r>
              <w:rPr>
                <w:rFonts w:ascii="宋体" w:hAnsi="宋体"/>
              </w:rPr>
              <w:t>分；为A级的得</w:t>
            </w:r>
            <w:r>
              <w:rPr>
                <w:rFonts w:hint="eastAsia" w:ascii="宋体" w:hAnsi="宋体"/>
              </w:rPr>
              <w:t>2</w:t>
            </w:r>
            <w:r>
              <w:rPr>
                <w:rFonts w:ascii="宋体" w:hAnsi="宋体"/>
              </w:rPr>
              <w:t>分；其他等级不得分：</w:t>
            </w:r>
          </w:p>
          <w:p>
            <w:pPr>
              <w:snapToGrid w:val="0"/>
              <w:rPr>
                <w:rFonts w:ascii="宋体" w:hAnsi="宋体"/>
              </w:rPr>
            </w:pPr>
            <w:r>
              <w:rPr>
                <w:rFonts w:ascii="宋体" w:hAnsi="宋体"/>
              </w:rPr>
              <w:t>（1）有安徽省交通运输厅2019年度公</w:t>
            </w:r>
            <w:r>
              <w:rPr>
                <w:rFonts w:hint="eastAsia" w:ascii="宋体" w:hAnsi="宋体"/>
              </w:rPr>
              <w:t>路</w:t>
            </w:r>
            <w:r>
              <w:rPr>
                <w:rFonts w:ascii="宋体" w:hAnsi="宋体"/>
              </w:rPr>
              <w:t>设计企业信用评价等级时，直接引用该等级；</w:t>
            </w:r>
          </w:p>
          <w:p>
            <w:pPr>
              <w:snapToGrid w:val="0"/>
              <w:rPr>
                <w:rFonts w:ascii="宋体" w:hAnsi="宋体"/>
              </w:rPr>
            </w:pPr>
            <w:r>
              <w:rPr>
                <w:rFonts w:ascii="宋体" w:hAnsi="宋体"/>
              </w:rPr>
              <w:t>（2）没有安徽省交通运输厅2019年度公路设计企业信用评价等级时，引用安徽省交通运输厅2018年度公路设计企业信用评价等级。</w:t>
            </w:r>
          </w:p>
          <w:p>
            <w:pPr>
              <w:snapToGrid w:val="0"/>
              <w:rPr>
                <w:rFonts w:ascii="宋体" w:hAnsi="宋体"/>
              </w:rPr>
            </w:pPr>
            <w:r>
              <w:rPr>
                <w:rFonts w:ascii="宋体" w:hAnsi="宋体"/>
              </w:rPr>
              <w:t>（3）没有安徽省交通运输厅2019年度和2018年度公路设计企业信用评价等级时，引用交通运输部</w:t>
            </w:r>
            <w:r>
              <w:rPr>
                <w:rFonts w:hint="eastAsia" w:ascii="宋体" w:hAnsi="宋体"/>
              </w:rPr>
              <w:t>最新</w:t>
            </w:r>
            <w:r>
              <w:rPr>
                <w:rFonts w:ascii="宋体" w:hAnsi="宋体"/>
              </w:rPr>
              <w:t>年度公路设计企业信用评价等级。</w:t>
            </w:r>
          </w:p>
          <w:p>
            <w:pPr>
              <w:snapToGrid w:val="0"/>
              <w:rPr>
                <w:rFonts w:ascii="宋体" w:hAnsi="宋体"/>
              </w:rPr>
            </w:pPr>
            <w:r>
              <w:rPr>
                <w:rFonts w:ascii="宋体" w:hAnsi="宋体"/>
              </w:rPr>
              <w:t>（4）无上述信用评价等级的，则引用投标人企业注册所在地省级交通运输主管部门最新发布的公路设计企业信用评价等级</w:t>
            </w:r>
            <w:r>
              <w:rPr>
                <w:rFonts w:hint="eastAsia" w:ascii="宋体" w:hAnsi="宋体"/>
              </w:rPr>
              <w:t>。</w:t>
            </w:r>
          </w:p>
          <w:p>
            <w:pPr>
              <w:snapToGrid w:val="0"/>
              <w:rPr>
                <w:rFonts w:ascii="宋体" w:hAnsi="宋体"/>
              </w:rPr>
            </w:pPr>
            <w:r>
              <w:rPr>
                <w:rFonts w:hint="eastAsia" w:ascii="宋体" w:hAnsi="宋体"/>
              </w:rPr>
              <w:t>（5）无上述信用评价等级的，</w:t>
            </w:r>
            <w:r>
              <w:rPr>
                <w:rFonts w:ascii="宋体" w:hAnsi="宋体"/>
              </w:rPr>
              <w:t>若无不良信用记录，按A级对待；若有不良信用记录，视其严重程度按B级及以下对待。</w:t>
            </w:r>
          </w:p>
          <w:p>
            <w:pPr>
              <w:snapToGrid w:val="0"/>
              <w:rPr>
                <w:rFonts w:ascii="宋体" w:cs="宋体"/>
                <w:kern w:val="0"/>
                <w:sz w:val="22"/>
                <w:szCs w:val="22"/>
              </w:rPr>
            </w:pPr>
            <w:r>
              <w:rPr>
                <w:rFonts w:ascii="宋体" w:hAnsi="宋体"/>
              </w:rPr>
              <w:t>（</w:t>
            </w:r>
            <w:r>
              <w:rPr>
                <w:rFonts w:hint="eastAsia" w:ascii="宋体" w:hAnsi="宋体"/>
              </w:rPr>
              <w:t>6</w:t>
            </w:r>
            <w:r>
              <w:rPr>
                <w:rFonts w:ascii="宋体" w:hAnsi="宋体"/>
              </w:rPr>
              <w:t>）如在交通运输部或安徽省交通运输厅最新年度等级评价公布日期之后，被交通运输部或安徽省交通运输厅通报降级的投标人的信用等级按通报等级执行。</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jc w:val="center"/>
        </w:trPr>
        <w:tc>
          <w:tcPr>
            <w:tcW w:w="864" w:type="dxa"/>
            <w:vMerge w:val="continue"/>
            <w:tcBorders>
              <w:tl2br w:val="nil"/>
              <w:tr2bl w:val="nil"/>
            </w:tcBorders>
            <w:vAlign w:val="center"/>
          </w:tcPr>
          <w:p>
            <w:pPr>
              <w:jc w:val="center"/>
              <w:rPr>
                <w:rFonts w:ascii="宋体"/>
                <w:sz w:val="22"/>
                <w:szCs w:val="22"/>
              </w:rPr>
            </w:pPr>
          </w:p>
        </w:tc>
        <w:tc>
          <w:tcPr>
            <w:tcW w:w="791" w:type="dxa"/>
            <w:vMerge w:val="continue"/>
            <w:tcBorders>
              <w:tl2br w:val="nil"/>
              <w:tr2bl w:val="nil"/>
            </w:tcBorders>
            <w:vAlign w:val="center"/>
          </w:tcPr>
          <w:p>
            <w:pPr>
              <w:jc w:val="center"/>
              <w:rPr>
                <w:rFonts w:ascii="宋体"/>
                <w:sz w:val="22"/>
                <w:szCs w:val="22"/>
              </w:rPr>
            </w:pPr>
          </w:p>
        </w:tc>
        <w:tc>
          <w:tcPr>
            <w:tcW w:w="776" w:type="dxa"/>
            <w:tcBorders>
              <w:top w:val="single" w:color="000000" w:sz="8" w:space="0"/>
              <w:tl2br w:val="nil"/>
              <w:tr2bl w:val="nil"/>
            </w:tcBorders>
            <w:vAlign w:val="center"/>
          </w:tcPr>
          <w:p>
            <w:pPr>
              <w:jc w:val="center"/>
              <w:rPr>
                <w:rFonts w:ascii="宋体"/>
                <w:sz w:val="22"/>
                <w:szCs w:val="22"/>
              </w:rPr>
            </w:pPr>
            <w:r>
              <w:rPr>
                <w:rFonts w:ascii="宋体" w:hAnsi="宋体"/>
              </w:rPr>
              <w:t>获奖</w:t>
            </w:r>
          </w:p>
        </w:tc>
        <w:tc>
          <w:tcPr>
            <w:tcW w:w="720" w:type="dxa"/>
            <w:gridSpan w:val="2"/>
            <w:tcBorders>
              <w:top w:val="single" w:color="000000" w:sz="8" w:space="0"/>
              <w:tl2br w:val="nil"/>
              <w:tr2bl w:val="nil"/>
            </w:tcBorders>
            <w:vAlign w:val="center"/>
          </w:tcPr>
          <w:p>
            <w:pPr>
              <w:jc w:val="center"/>
              <w:rPr>
                <w:rFonts w:ascii="宋体"/>
                <w:sz w:val="22"/>
                <w:szCs w:val="22"/>
              </w:rPr>
            </w:pPr>
            <w:r>
              <w:rPr>
                <w:rFonts w:hint="eastAsia" w:ascii="宋体" w:hAnsi="宋体"/>
              </w:rPr>
              <w:t>8</w:t>
            </w:r>
            <w:r>
              <w:rPr>
                <w:rFonts w:ascii="宋体" w:hAnsi="宋体"/>
              </w:rPr>
              <w:t>分</w:t>
            </w:r>
          </w:p>
        </w:tc>
        <w:tc>
          <w:tcPr>
            <w:tcW w:w="6297" w:type="dxa"/>
            <w:gridSpan w:val="3"/>
            <w:tcBorders>
              <w:tl2br w:val="nil"/>
              <w:tr2bl w:val="nil"/>
            </w:tcBorders>
            <w:vAlign w:val="center"/>
          </w:tcPr>
          <w:p>
            <w:pPr>
              <w:tabs>
                <w:tab w:val="left" w:pos="528"/>
              </w:tabs>
              <w:autoSpaceDE w:val="0"/>
              <w:autoSpaceDN w:val="0"/>
              <w:spacing w:before="92"/>
              <w:jc w:val="left"/>
            </w:pPr>
            <w:r>
              <w:rPr>
                <w:rFonts w:hint="eastAsia"/>
              </w:rPr>
              <w:t>自2015年1月1日以来（时间以获奖证书颁发时间为准），投标人承担的公路工程或桥梁工程设计（勘察设计）项目：</w:t>
            </w:r>
          </w:p>
          <w:p>
            <w:pPr>
              <w:tabs>
                <w:tab w:val="left" w:pos="528"/>
              </w:tabs>
              <w:autoSpaceDE w:val="0"/>
              <w:autoSpaceDN w:val="0"/>
              <w:spacing w:before="92"/>
              <w:jc w:val="left"/>
            </w:pPr>
            <w:r>
              <w:rPr>
                <w:rFonts w:hint="eastAsia"/>
              </w:rPr>
              <w:t>①每获得过1个中华人民共和国住房和城乡建设部颁发的全国优秀工程勘察设计奖金质奖的得</w:t>
            </w:r>
            <w:r>
              <w:t>4</w:t>
            </w:r>
            <w:r>
              <w:rPr>
                <w:rFonts w:hint="eastAsia"/>
              </w:rPr>
              <w:t>分，银质奖的得</w:t>
            </w:r>
            <w:r>
              <w:t>2</w:t>
            </w:r>
            <w:r>
              <w:rPr>
                <w:rFonts w:hint="eastAsia"/>
              </w:rPr>
              <w:t>分，最多得</w:t>
            </w:r>
            <w:r>
              <w:t>4</w:t>
            </w:r>
            <w:r>
              <w:rPr>
                <w:rFonts w:hint="eastAsia"/>
              </w:rPr>
              <w:t>分。</w:t>
            </w:r>
          </w:p>
          <w:p>
            <w:pPr>
              <w:tabs>
                <w:tab w:val="left" w:pos="528"/>
              </w:tabs>
              <w:autoSpaceDE w:val="0"/>
              <w:autoSpaceDN w:val="0"/>
              <w:spacing w:before="92"/>
              <w:jc w:val="left"/>
            </w:pPr>
            <w:r>
              <w:rPr>
                <w:rFonts w:hint="eastAsia"/>
              </w:rPr>
              <w:t>②每获得1个由中国土木工程学会颁发的中国土木工程詹天佑奖的，得2分，最多得4分。</w:t>
            </w:r>
          </w:p>
          <w:p>
            <w:pPr>
              <w:snapToGrid w:val="0"/>
            </w:pPr>
            <w:r>
              <w:rPr>
                <w:rFonts w:hint="eastAsia"/>
              </w:rPr>
              <w:t>本项满分8分，同一获奖项目以最高奖项计分，不重复加分。</w:t>
            </w:r>
          </w:p>
          <w:p>
            <w:pPr>
              <w:pStyle w:val="2"/>
            </w:pPr>
            <w:r>
              <w:rPr>
                <w:rStyle w:val="110"/>
                <w:rFonts w:hint="eastAsia" w:ascii="Times New Roman" w:hAnsi="Times New Roman"/>
                <w:b/>
                <w:bCs/>
                <w:szCs w:val="21"/>
              </w:rPr>
              <w:t>获奖证书上应能反映投标单位名称，否则不予认可。</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856" w:hRule="atLeast"/>
          <w:jc w:val="center"/>
        </w:trPr>
        <w:tc>
          <w:tcPr>
            <w:tcW w:w="9448" w:type="dxa"/>
            <w:gridSpan w:val="8"/>
            <w:tcBorders>
              <w:tl2br w:val="nil"/>
              <w:tr2bl w:val="nil"/>
            </w:tcBorders>
            <w:vAlign w:val="center"/>
          </w:tcPr>
          <w:p>
            <w:pPr>
              <w:snapToGrid w:val="0"/>
              <w:rPr>
                <w:sz w:val="22"/>
                <w:szCs w:val="22"/>
              </w:rPr>
            </w:pPr>
            <w:r>
              <w:rPr>
                <w:sz w:val="22"/>
                <w:szCs w:val="22"/>
              </w:rPr>
              <w:t>需要补充的其他内容：</w:t>
            </w:r>
          </w:p>
          <w:p>
            <w:pPr>
              <w:spacing w:line="276" w:lineRule="auto"/>
              <w:ind w:firstLine="440" w:firstLineChars="200"/>
              <w:rPr>
                <w:sz w:val="22"/>
                <w:szCs w:val="22"/>
              </w:rPr>
            </w:pPr>
            <w:r>
              <w:rPr>
                <w:rFonts w:hint="eastAsia"/>
                <w:sz w:val="22"/>
                <w:szCs w:val="22"/>
              </w:rPr>
              <w:t>1、本办法没有列明的因素和标准不得作为评标的依据。</w:t>
            </w:r>
          </w:p>
          <w:p>
            <w:pPr>
              <w:spacing w:line="276" w:lineRule="auto"/>
              <w:ind w:firstLine="440" w:firstLineChars="200"/>
              <w:rPr>
                <w:sz w:val="22"/>
                <w:szCs w:val="22"/>
              </w:rPr>
            </w:pPr>
            <w:r>
              <w:rPr>
                <w:rFonts w:hint="eastAsia"/>
                <w:sz w:val="22"/>
                <w:szCs w:val="22"/>
              </w:rPr>
              <w:t>2、各评分因素（评标价、获奖和履约信誉评分项除外）得分一般不低于其权重分值的60%，且各评分因素得分应以评标委员会各成员的打分平均值确定，评标委员会成员总数为七人及以上时，该平均值以去掉一个最高分和一个最低分后计算。评标委员会成员对某一项评分因素的评分低于权重分值60%的，应在评标报告中作出说明。</w:t>
            </w:r>
          </w:p>
          <w:p>
            <w:pPr>
              <w:spacing w:line="276" w:lineRule="auto"/>
              <w:ind w:firstLine="440" w:firstLineChars="200"/>
              <w:rPr>
                <w:sz w:val="22"/>
                <w:szCs w:val="22"/>
              </w:rPr>
            </w:pPr>
            <w:r>
              <w:rPr>
                <w:rFonts w:hint="eastAsia"/>
                <w:sz w:val="22"/>
                <w:szCs w:val="22"/>
              </w:rPr>
              <w:t>3、</w:t>
            </w:r>
            <w:r>
              <w:rPr>
                <w:sz w:val="22"/>
                <w:szCs w:val="22"/>
              </w:rPr>
              <w:t>若某一投标人在多个标段</w:t>
            </w:r>
            <w:r>
              <w:rPr>
                <w:rFonts w:hint="eastAsia"/>
                <w:sz w:val="22"/>
                <w:szCs w:val="22"/>
              </w:rPr>
              <w:t>均排名第一</w:t>
            </w:r>
            <w:r>
              <w:rPr>
                <w:sz w:val="22"/>
                <w:szCs w:val="22"/>
              </w:rPr>
              <w:t>，且只能中一个标段时，评标委员会应按照</w:t>
            </w:r>
            <w:r>
              <w:rPr>
                <w:rFonts w:hint="eastAsia"/>
                <w:sz w:val="22"/>
                <w:szCs w:val="22"/>
              </w:rPr>
              <w:t>投标人须知前附表第6.3款约定的</w:t>
            </w:r>
            <w:r>
              <w:rPr>
                <w:sz w:val="22"/>
                <w:szCs w:val="22"/>
              </w:rPr>
              <w:t>原则推荐中标候选人。</w:t>
            </w:r>
          </w:p>
          <w:p>
            <w:pPr>
              <w:snapToGrid w:val="0"/>
              <w:spacing w:line="288" w:lineRule="auto"/>
              <w:ind w:firstLine="442" w:firstLineChars="200"/>
              <w:rPr>
                <w:sz w:val="22"/>
                <w:szCs w:val="22"/>
              </w:rPr>
            </w:pPr>
            <w:r>
              <w:rPr>
                <w:b/>
                <w:bCs/>
                <w:sz w:val="22"/>
                <w:szCs w:val="20"/>
              </w:rPr>
              <w:t>如投标人存在恶意低价竞标行为，招标人将其不良行为上报省级交通运输主管部门，作为不良记录纳入相关信用信息管理系统。</w:t>
            </w:r>
          </w:p>
        </w:tc>
      </w:tr>
    </w:tbl>
    <w:p>
      <w:pPr>
        <w:widowControl/>
        <w:spacing w:line="312" w:lineRule="auto"/>
        <w:ind w:firstLine="420" w:firstLineChars="200"/>
        <w:jc w:val="left"/>
        <w:rPr>
          <w:szCs w:val="21"/>
        </w:rPr>
      </w:pPr>
    </w:p>
    <w:p>
      <w:pPr>
        <w:spacing w:line="400" w:lineRule="atLeast"/>
        <w:outlineLvl w:val="2"/>
        <w:rPr>
          <w:rFonts w:ascii="黑体" w:hAnsi="黑体" w:eastAsia="黑体" w:cs="黑体"/>
          <w:kern w:val="0"/>
          <w:sz w:val="22"/>
          <w:szCs w:val="21"/>
        </w:rPr>
      </w:pPr>
      <w:r>
        <w:rPr>
          <w:rFonts w:hint="eastAsia" w:ascii="黑体" w:hAnsi="黑体" w:eastAsia="黑体"/>
          <w:sz w:val="24"/>
        </w:rPr>
        <w:br w:type="page"/>
      </w:r>
      <w:r>
        <w:rPr>
          <w:rFonts w:hint="eastAsia" w:ascii="黑体" w:hAnsi="黑体" w:eastAsia="黑体" w:cs="黑体"/>
          <w:kern w:val="0"/>
          <w:sz w:val="22"/>
          <w:szCs w:val="21"/>
        </w:rPr>
        <w:t>1.评标方法</w:t>
      </w:r>
    </w:p>
    <w:p>
      <w:pPr>
        <w:widowControl/>
        <w:snapToGrid w:val="0"/>
        <w:spacing w:line="360" w:lineRule="auto"/>
        <w:ind w:firstLine="440" w:firstLineChars="200"/>
        <w:jc w:val="left"/>
        <w:rPr>
          <w:sz w:val="22"/>
          <w:szCs w:val="21"/>
        </w:rPr>
      </w:pPr>
      <w:r>
        <w:rPr>
          <w:sz w:val="22"/>
          <w:szCs w:val="21"/>
        </w:rPr>
        <w:t>本次评标采用综合评估法。评标委员会对满足招标文件实质性要求的投标文件</w:t>
      </w:r>
      <w:r>
        <w:rPr>
          <w:rFonts w:hint="eastAsia"/>
          <w:sz w:val="22"/>
          <w:szCs w:val="21"/>
        </w:rPr>
        <w:t>，</w:t>
      </w:r>
      <w:r>
        <w:rPr>
          <w:sz w:val="22"/>
          <w:szCs w:val="21"/>
        </w:rPr>
        <w:t>按照本章第2.2款规定的评分标准进行打分，并按得分由高到低顺序推荐中标候选人，或根据招标人授权直接确定中标人，但投标报价低于其成本的除外。综合评分相等时，评标委员会应按照评标办法前附表规定的优先次序推荐中标候选人或确定中标人。</w:t>
      </w:r>
    </w:p>
    <w:p>
      <w:pPr>
        <w:widowControl/>
        <w:numPr>
          <w:ilvl w:val="0"/>
          <w:numId w:val="1"/>
        </w:numPr>
        <w:snapToGrid w:val="0"/>
        <w:spacing w:line="360" w:lineRule="auto"/>
        <w:jc w:val="left"/>
        <w:outlineLvl w:val="1"/>
        <w:rPr>
          <w:rFonts w:ascii="黑体" w:hAnsi="黑体" w:eastAsia="黑体" w:cs="黑体"/>
          <w:kern w:val="0"/>
          <w:sz w:val="22"/>
          <w:szCs w:val="21"/>
        </w:rPr>
      </w:pPr>
      <w:r>
        <w:rPr>
          <w:rFonts w:hint="eastAsia" w:ascii="黑体" w:hAnsi="黑体" w:eastAsia="黑体" w:cs="黑体"/>
          <w:kern w:val="0"/>
          <w:sz w:val="22"/>
          <w:szCs w:val="21"/>
        </w:rPr>
        <w:t>评审标准</w:t>
      </w:r>
    </w:p>
    <w:p>
      <w:pPr>
        <w:widowControl/>
        <w:snapToGrid w:val="0"/>
        <w:spacing w:line="360" w:lineRule="auto"/>
        <w:jc w:val="left"/>
        <w:outlineLvl w:val="2"/>
        <w:rPr>
          <w:rFonts w:eastAsia="黑体"/>
          <w:kern w:val="0"/>
          <w:sz w:val="22"/>
          <w:szCs w:val="21"/>
        </w:rPr>
      </w:pPr>
      <w:r>
        <w:rPr>
          <w:rFonts w:eastAsia="黑体"/>
          <w:kern w:val="0"/>
          <w:sz w:val="22"/>
          <w:szCs w:val="21"/>
        </w:rPr>
        <w:t>2.1初步评审标准</w:t>
      </w:r>
    </w:p>
    <w:p>
      <w:pPr>
        <w:widowControl/>
        <w:snapToGrid w:val="0"/>
        <w:spacing w:line="360" w:lineRule="auto"/>
        <w:ind w:firstLine="440" w:firstLineChars="200"/>
        <w:jc w:val="left"/>
        <w:rPr>
          <w:sz w:val="22"/>
          <w:szCs w:val="21"/>
        </w:rPr>
      </w:pPr>
      <w:r>
        <w:rPr>
          <w:sz w:val="22"/>
          <w:szCs w:val="21"/>
        </w:rPr>
        <w:t>2.1.1形式评审标准</w:t>
      </w:r>
      <w:r>
        <w:rPr>
          <w:rFonts w:hint="eastAsia"/>
          <w:sz w:val="22"/>
          <w:szCs w:val="21"/>
        </w:rPr>
        <w:t>：</w:t>
      </w:r>
      <w:r>
        <w:rPr>
          <w:sz w:val="22"/>
          <w:szCs w:val="21"/>
        </w:rPr>
        <w:t>见评标办法前附表。</w:t>
      </w:r>
    </w:p>
    <w:p>
      <w:pPr>
        <w:widowControl/>
        <w:snapToGrid w:val="0"/>
        <w:spacing w:line="360" w:lineRule="auto"/>
        <w:ind w:firstLine="440" w:firstLineChars="200"/>
        <w:jc w:val="left"/>
        <w:rPr>
          <w:sz w:val="22"/>
          <w:szCs w:val="21"/>
        </w:rPr>
      </w:pPr>
      <w:r>
        <w:rPr>
          <w:sz w:val="22"/>
          <w:szCs w:val="21"/>
        </w:rPr>
        <w:t>2.1.2资格评审标准</w:t>
      </w:r>
      <w:r>
        <w:rPr>
          <w:rFonts w:hint="eastAsia"/>
          <w:sz w:val="22"/>
          <w:szCs w:val="21"/>
        </w:rPr>
        <w:t>：</w:t>
      </w:r>
      <w:r>
        <w:rPr>
          <w:sz w:val="22"/>
          <w:szCs w:val="21"/>
        </w:rPr>
        <w:t>见评标办法前附表。</w:t>
      </w:r>
    </w:p>
    <w:p>
      <w:pPr>
        <w:widowControl/>
        <w:snapToGrid w:val="0"/>
        <w:spacing w:line="360" w:lineRule="auto"/>
        <w:ind w:firstLine="440" w:firstLineChars="200"/>
        <w:jc w:val="left"/>
        <w:rPr>
          <w:sz w:val="22"/>
          <w:szCs w:val="21"/>
        </w:rPr>
      </w:pPr>
      <w:r>
        <w:rPr>
          <w:sz w:val="22"/>
          <w:szCs w:val="21"/>
        </w:rPr>
        <w:t>2.1.3响应性评审标准</w:t>
      </w:r>
      <w:r>
        <w:rPr>
          <w:rFonts w:hint="eastAsia"/>
          <w:sz w:val="22"/>
          <w:szCs w:val="21"/>
        </w:rPr>
        <w:t>：</w:t>
      </w:r>
      <w:r>
        <w:rPr>
          <w:sz w:val="22"/>
          <w:szCs w:val="21"/>
        </w:rPr>
        <w:t>见评标办法前附表。</w:t>
      </w:r>
    </w:p>
    <w:p>
      <w:pPr>
        <w:widowControl/>
        <w:snapToGrid w:val="0"/>
        <w:spacing w:line="360" w:lineRule="auto"/>
        <w:jc w:val="left"/>
        <w:outlineLvl w:val="2"/>
        <w:rPr>
          <w:rFonts w:eastAsia="黑体"/>
          <w:kern w:val="0"/>
          <w:sz w:val="22"/>
          <w:szCs w:val="21"/>
        </w:rPr>
      </w:pPr>
      <w:r>
        <w:rPr>
          <w:rFonts w:eastAsia="黑体"/>
          <w:kern w:val="0"/>
          <w:sz w:val="22"/>
          <w:szCs w:val="21"/>
        </w:rPr>
        <w:t>2.2分值构成与评分标准</w:t>
      </w:r>
    </w:p>
    <w:p>
      <w:pPr>
        <w:widowControl/>
        <w:snapToGrid w:val="0"/>
        <w:spacing w:line="360" w:lineRule="auto"/>
        <w:ind w:firstLine="440" w:firstLineChars="200"/>
        <w:jc w:val="left"/>
        <w:rPr>
          <w:rFonts w:eastAsia="黑体"/>
          <w:sz w:val="22"/>
          <w:szCs w:val="21"/>
        </w:rPr>
      </w:pPr>
      <w:r>
        <w:rPr>
          <w:rFonts w:eastAsia="黑体"/>
          <w:sz w:val="22"/>
          <w:szCs w:val="21"/>
        </w:rPr>
        <w:t>2.2.1分值构成</w:t>
      </w:r>
    </w:p>
    <w:p>
      <w:pPr>
        <w:widowControl/>
        <w:snapToGrid w:val="0"/>
        <w:spacing w:line="360" w:lineRule="auto"/>
        <w:ind w:firstLine="440" w:firstLineChars="200"/>
        <w:jc w:val="left"/>
        <w:rPr>
          <w:sz w:val="22"/>
          <w:szCs w:val="21"/>
        </w:rPr>
      </w:pPr>
      <w:r>
        <w:rPr>
          <w:rFonts w:hint="eastAsia"/>
          <w:sz w:val="22"/>
          <w:szCs w:val="21"/>
        </w:rPr>
        <w:t>（1）</w:t>
      </w:r>
      <w:r>
        <w:rPr>
          <w:sz w:val="22"/>
          <w:szCs w:val="21"/>
        </w:rPr>
        <w:t>技术建议书</w:t>
      </w:r>
      <w:r>
        <w:rPr>
          <w:rFonts w:hint="eastAsia"/>
          <w:sz w:val="22"/>
          <w:szCs w:val="21"/>
        </w:rPr>
        <w:t>：</w:t>
      </w:r>
      <w:r>
        <w:rPr>
          <w:sz w:val="22"/>
          <w:szCs w:val="21"/>
        </w:rPr>
        <w:t>见评标办法前附表</w:t>
      </w:r>
      <w:r>
        <w:rPr>
          <w:rFonts w:hint="eastAsia"/>
          <w:sz w:val="22"/>
          <w:szCs w:val="21"/>
        </w:rPr>
        <w:t>；</w:t>
      </w:r>
    </w:p>
    <w:p>
      <w:pPr>
        <w:widowControl/>
        <w:snapToGrid w:val="0"/>
        <w:spacing w:line="360" w:lineRule="auto"/>
        <w:ind w:firstLine="440" w:firstLineChars="200"/>
        <w:jc w:val="left"/>
        <w:rPr>
          <w:sz w:val="22"/>
          <w:szCs w:val="21"/>
        </w:rPr>
      </w:pPr>
      <w:r>
        <w:rPr>
          <w:rFonts w:hint="eastAsia"/>
          <w:sz w:val="22"/>
          <w:szCs w:val="21"/>
        </w:rPr>
        <w:t>（2）</w:t>
      </w:r>
      <w:r>
        <w:rPr>
          <w:sz w:val="22"/>
          <w:szCs w:val="21"/>
        </w:rPr>
        <w:t>主要人员</w:t>
      </w:r>
      <w:r>
        <w:rPr>
          <w:rFonts w:hint="eastAsia"/>
          <w:sz w:val="22"/>
          <w:szCs w:val="21"/>
        </w:rPr>
        <w:t>：</w:t>
      </w:r>
      <w:r>
        <w:rPr>
          <w:sz w:val="22"/>
          <w:szCs w:val="21"/>
        </w:rPr>
        <w:t>见评标办法前附表</w:t>
      </w:r>
      <w:r>
        <w:rPr>
          <w:rFonts w:hint="eastAsia"/>
          <w:sz w:val="22"/>
          <w:szCs w:val="21"/>
        </w:rPr>
        <w:t>；</w:t>
      </w:r>
    </w:p>
    <w:p>
      <w:pPr>
        <w:widowControl/>
        <w:snapToGrid w:val="0"/>
        <w:spacing w:line="360" w:lineRule="auto"/>
        <w:ind w:firstLine="440" w:firstLineChars="200"/>
        <w:jc w:val="left"/>
        <w:rPr>
          <w:sz w:val="22"/>
          <w:szCs w:val="21"/>
        </w:rPr>
      </w:pPr>
      <w:r>
        <w:rPr>
          <w:rFonts w:hint="eastAsia"/>
          <w:sz w:val="22"/>
          <w:szCs w:val="21"/>
        </w:rPr>
        <w:t>（3）</w:t>
      </w:r>
      <w:r>
        <w:rPr>
          <w:sz w:val="22"/>
          <w:szCs w:val="21"/>
        </w:rPr>
        <w:t>评标价</w:t>
      </w:r>
      <w:r>
        <w:rPr>
          <w:rFonts w:hint="eastAsia"/>
          <w:sz w:val="22"/>
          <w:szCs w:val="21"/>
        </w:rPr>
        <w:t>：</w:t>
      </w:r>
      <w:r>
        <w:rPr>
          <w:sz w:val="22"/>
          <w:szCs w:val="21"/>
        </w:rPr>
        <w:t>见评标办法前附表</w:t>
      </w:r>
      <w:r>
        <w:rPr>
          <w:rFonts w:hint="eastAsia"/>
          <w:sz w:val="22"/>
          <w:szCs w:val="21"/>
        </w:rPr>
        <w:t>；</w:t>
      </w:r>
    </w:p>
    <w:p>
      <w:pPr>
        <w:widowControl/>
        <w:snapToGrid w:val="0"/>
        <w:spacing w:line="360" w:lineRule="auto"/>
        <w:ind w:firstLine="440" w:firstLineChars="200"/>
        <w:jc w:val="left"/>
        <w:rPr>
          <w:sz w:val="22"/>
          <w:szCs w:val="21"/>
        </w:rPr>
      </w:pPr>
      <w:r>
        <w:rPr>
          <w:rFonts w:hint="eastAsia"/>
          <w:sz w:val="22"/>
          <w:szCs w:val="21"/>
        </w:rPr>
        <w:t>（4）</w:t>
      </w:r>
      <w:r>
        <w:rPr>
          <w:sz w:val="22"/>
          <w:szCs w:val="21"/>
        </w:rPr>
        <w:t>其他评分因素</w:t>
      </w:r>
      <w:r>
        <w:rPr>
          <w:rFonts w:hint="eastAsia"/>
          <w:sz w:val="22"/>
          <w:szCs w:val="21"/>
        </w:rPr>
        <w:t>：</w:t>
      </w:r>
      <w:r>
        <w:rPr>
          <w:sz w:val="22"/>
          <w:szCs w:val="21"/>
        </w:rPr>
        <w:t>见评标办法前附表。</w:t>
      </w:r>
    </w:p>
    <w:p>
      <w:pPr>
        <w:widowControl/>
        <w:snapToGrid w:val="0"/>
        <w:spacing w:line="360" w:lineRule="auto"/>
        <w:ind w:firstLine="440" w:firstLineChars="200"/>
        <w:jc w:val="left"/>
        <w:rPr>
          <w:rFonts w:eastAsia="黑体"/>
          <w:sz w:val="22"/>
          <w:szCs w:val="21"/>
        </w:rPr>
      </w:pPr>
      <w:r>
        <w:rPr>
          <w:rFonts w:eastAsia="黑体"/>
          <w:sz w:val="22"/>
          <w:szCs w:val="21"/>
        </w:rPr>
        <w:t>2.2.2评标基准价计算</w:t>
      </w:r>
    </w:p>
    <w:p>
      <w:pPr>
        <w:widowControl/>
        <w:snapToGrid w:val="0"/>
        <w:spacing w:line="360" w:lineRule="auto"/>
        <w:ind w:firstLine="440" w:firstLineChars="200"/>
        <w:jc w:val="left"/>
        <w:rPr>
          <w:sz w:val="22"/>
          <w:szCs w:val="21"/>
        </w:rPr>
      </w:pPr>
      <w:r>
        <w:rPr>
          <w:sz w:val="22"/>
          <w:szCs w:val="21"/>
        </w:rPr>
        <w:t>评标基准价计算方法</w:t>
      </w:r>
      <w:r>
        <w:rPr>
          <w:rFonts w:hint="eastAsia"/>
          <w:sz w:val="22"/>
          <w:szCs w:val="21"/>
        </w:rPr>
        <w:t>：</w:t>
      </w:r>
      <w:r>
        <w:rPr>
          <w:sz w:val="22"/>
          <w:szCs w:val="21"/>
        </w:rPr>
        <w:t>见评标办法前附表。</w:t>
      </w:r>
    </w:p>
    <w:p>
      <w:pPr>
        <w:widowControl/>
        <w:snapToGrid w:val="0"/>
        <w:spacing w:line="360" w:lineRule="auto"/>
        <w:ind w:firstLine="440" w:firstLineChars="200"/>
        <w:jc w:val="left"/>
        <w:rPr>
          <w:rFonts w:eastAsia="黑体"/>
          <w:sz w:val="22"/>
          <w:szCs w:val="21"/>
        </w:rPr>
      </w:pPr>
      <w:r>
        <w:rPr>
          <w:rFonts w:eastAsia="黑体"/>
          <w:sz w:val="22"/>
          <w:szCs w:val="21"/>
        </w:rPr>
        <w:t>2.2.3评标价的偏差率计算</w:t>
      </w:r>
    </w:p>
    <w:p>
      <w:pPr>
        <w:widowControl/>
        <w:snapToGrid w:val="0"/>
        <w:spacing w:line="360" w:lineRule="auto"/>
        <w:ind w:firstLine="440" w:firstLineChars="200"/>
        <w:jc w:val="left"/>
        <w:rPr>
          <w:sz w:val="22"/>
          <w:szCs w:val="21"/>
        </w:rPr>
      </w:pPr>
      <w:r>
        <w:rPr>
          <w:sz w:val="22"/>
          <w:szCs w:val="21"/>
        </w:rPr>
        <w:t>评标价的偏差率计算公式</w:t>
      </w:r>
      <w:r>
        <w:rPr>
          <w:rFonts w:hint="eastAsia"/>
          <w:sz w:val="22"/>
          <w:szCs w:val="21"/>
        </w:rPr>
        <w:t>：</w:t>
      </w:r>
      <w:r>
        <w:rPr>
          <w:sz w:val="22"/>
          <w:szCs w:val="21"/>
        </w:rPr>
        <w:t>见评标办法前附表。</w:t>
      </w:r>
    </w:p>
    <w:p>
      <w:pPr>
        <w:widowControl/>
        <w:snapToGrid w:val="0"/>
        <w:spacing w:line="360" w:lineRule="auto"/>
        <w:ind w:firstLine="440" w:firstLineChars="200"/>
        <w:jc w:val="left"/>
        <w:rPr>
          <w:rFonts w:eastAsia="黑体"/>
          <w:sz w:val="22"/>
          <w:szCs w:val="21"/>
        </w:rPr>
      </w:pPr>
      <w:r>
        <w:rPr>
          <w:rFonts w:eastAsia="黑体"/>
          <w:sz w:val="22"/>
          <w:szCs w:val="21"/>
        </w:rPr>
        <w:t>2.2.</w:t>
      </w:r>
      <w:r>
        <w:rPr>
          <w:rFonts w:hint="eastAsia" w:eastAsia="黑体"/>
          <w:sz w:val="22"/>
          <w:szCs w:val="21"/>
        </w:rPr>
        <w:t xml:space="preserve">4 </w:t>
      </w:r>
      <w:r>
        <w:rPr>
          <w:rFonts w:eastAsia="黑体"/>
          <w:sz w:val="22"/>
          <w:szCs w:val="21"/>
        </w:rPr>
        <w:t>评分标准</w:t>
      </w:r>
    </w:p>
    <w:p>
      <w:pPr>
        <w:widowControl/>
        <w:snapToGrid w:val="0"/>
        <w:spacing w:line="360" w:lineRule="auto"/>
        <w:ind w:firstLine="440" w:firstLineChars="200"/>
        <w:jc w:val="left"/>
        <w:rPr>
          <w:sz w:val="22"/>
          <w:szCs w:val="21"/>
        </w:rPr>
      </w:pPr>
      <w:r>
        <w:rPr>
          <w:rFonts w:hint="eastAsia"/>
          <w:sz w:val="22"/>
          <w:szCs w:val="21"/>
        </w:rPr>
        <w:t>（1）</w:t>
      </w:r>
      <w:r>
        <w:rPr>
          <w:sz w:val="22"/>
          <w:szCs w:val="21"/>
        </w:rPr>
        <w:t>技术建议书评分标准</w:t>
      </w:r>
      <w:r>
        <w:rPr>
          <w:rFonts w:hint="eastAsia"/>
          <w:sz w:val="22"/>
          <w:szCs w:val="21"/>
        </w:rPr>
        <w:t>：</w:t>
      </w:r>
      <w:r>
        <w:rPr>
          <w:sz w:val="22"/>
          <w:szCs w:val="21"/>
        </w:rPr>
        <w:t>见评标办法前附表</w:t>
      </w:r>
      <w:r>
        <w:rPr>
          <w:rFonts w:hint="eastAsia"/>
          <w:sz w:val="22"/>
          <w:szCs w:val="21"/>
        </w:rPr>
        <w:t>；</w:t>
      </w:r>
    </w:p>
    <w:p>
      <w:pPr>
        <w:widowControl/>
        <w:snapToGrid w:val="0"/>
        <w:spacing w:line="360" w:lineRule="auto"/>
        <w:ind w:firstLine="440" w:firstLineChars="200"/>
        <w:jc w:val="left"/>
        <w:rPr>
          <w:sz w:val="22"/>
          <w:szCs w:val="21"/>
        </w:rPr>
      </w:pPr>
      <w:r>
        <w:rPr>
          <w:rFonts w:hint="eastAsia"/>
          <w:sz w:val="22"/>
          <w:szCs w:val="21"/>
        </w:rPr>
        <w:t>（2）</w:t>
      </w:r>
      <w:r>
        <w:rPr>
          <w:sz w:val="22"/>
          <w:szCs w:val="21"/>
        </w:rPr>
        <w:t>主要人员评分标准</w:t>
      </w:r>
      <w:r>
        <w:rPr>
          <w:rFonts w:hint="eastAsia"/>
          <w:sz w:val="22"/>
          <w:szCs w:val="21"/>
        </w:rPr>
        <w:t>：</w:t>
      </w:r>
      <w:r>
        <w:rPr>
          <w:sz w:val="22"/>
          <w:szCs w:val="21"/>
        </w:rPr>
        <w:t>见评标办法前附表</w:t>
      </w:r>
      <w:r>
        <w:rPr>
          <w:rFonts w:hint="eastAsia"/>
          <w:sz w:val="22"/>
          <w:szCs w:val="21"/>
        </w:rPr>
        <w:t>；</w:t>
      </w:r>
    </w:p>
    <w:p>
      <w:pPr>
        <w:widowControl/>
        <w:snapToGrid w:val="0"/>
        <w:spacing w:line="360" w:lineRule="auto"/>
        <w:ind w:firstLine="440" w:firstLineChars="200"/>
        <w:jc w:val="left"/>
        <w:rPr>
          <w:sz w:val="22"/>
          <w:szCs w:val="21"/>
        </w:rPr>
      </w:pPr>
      <w:r>
        <w:rPr>
          <w:rFonts w:hint="eastAsia"/>
          <w:sz w:val="22"/>
          <w:szCs w:val="21"/>
        </w:rPr>
        <w:t>（3）</w:t>
      </w:r>
      <w:r>
        <w:rPr>
          <w:sz w:val="22"/>
          <w:szCs w:val="21"/>
        </w:rPr>
        <w:t>评标价评分标准</w:t>
      </w:r>
      <w:r>
        <w:rPr>
          <w:rFonts w:hint="eastAsia"/>
          <w:sz w:val="22"/>
          <w:szCs w:val="21"/>
        </w:rPr>
        <w:t>：</w:t>
      </w:r>
      <w:r>
        <w:rPr>
          <w:sz w:val="22"/>
          <w:szCs w:val="21"/>
        </w:rPr>
        <w:t>见评标办法前附表</w:t>
      </w:r>
      <w:r>
        <w:rPr>
          <w:rFonts w:hint="eastAsia"/>
          <w:sz w:val="22"/>
          <w:szCs w:val="21"/>
        </w:rPr>
        <w:t>；</w:t>
      </w:r>
    </w:p>
    <w:p>
      <w:pPr>
        <w:widowControl/>
        <w:snapToGrid w:val="0"/>
        <w:spacing w:line="360" w:lineRule="auto"/>
        <w:ind w:firstLine="440" w:firstLineChars="200"/>
        <w:jc w:val="left"/>
        <w:rPr>
          <w:sz w:val="22"/>
          <w:szCs w:val="21"/>
        </w:rPr>
      </w:pPr>
      <w:r>
        <w:rPr>
          <w:rFonts w:hint="eastAsia"/>
          <w:sz w:val="22"/>
          <w:szCs w:val="21"/>
        </w:rPr>
        <w:t>（4）</w:t>
      </w:r>
      <w:r>
        <w:rPr>
          <w:sz w:val="22"/>
          <w:szCs w:val="21"/>
        </w:rPr>
        <w:t>其他因素评分标准</w:t>
      </w:r>
      <w:r>
        <w:rPr>
          <w:rFonts w:hint="eastAsia"/>
          <w:sz w:val="22"/>
          <w:szCs w:val="21"/>
        </w:rPr>
        <w:t>：</w:t>
      </w:r>
      <w:r>
        <w:rPr>
          <w:sz w:val="22"/>
          <w:szCs w:val="21"/>
        </w:rPr>
        <w:t>见评标办法前附表。</w:t>
      </w:r>
    </w:p>
    <w:p>
      <w:pPr>
        <w:widowControl/>
        <w:snapToGrid w:val="0"/>
        <w:spacing w:line="360" w:lineRule="auto"/>
        <w:jc w:val="left"/>
        <w:outlineLvl w:val="1"/>
        <w:rPr>
          <w:rFonts w:ascii="黑体" w:hAnsi="黑体" w:eastAsia="黑体" w:cs="黑体"/>
          <w:sz w:val="22"/>
          <w:szCs w:val="21"/>
        </w:rPr>
      </w:pPr>
      <w:r>
        <w:rPr>
          <w:rFonts w:hint="eastAsia" w:ascii="黑体" w:hAnsi="黑体" w:eastAsia="黑体" w:cs="黑体"/>
          <w:sz w:val="22"/>
          <w:szCs w:val="21"/>
        </w:rPr>
        <w:t>3.评标程序</w:t>
      </w:r>
    </w:p>
    <w:p>
      <w:pPr>
        <w:widowControl/>
        <w:snapToGrid w:val="0"/>
        <w:spacing w:line="360" w:lineRule="auto"/>
        <w:jc w:val="left"/>
        <w:outlineLvl w:val="2"/>
        <w:rPr>
          <w:rFonts w:eastAsia="黑体"/>
          <w:kern w:val="0"/>
          <w:sz w:val="22"/>
          <w:szCs w:val="21"/>
        </w:rPr>
      </w:pPr>
      <w:r>
        <w:rPr>
          <w:rFonts w:eastAsia="黑体"/>
          <w:kern w:val="0"/>
          <w:sz w:val="22"/>
          <w:szCs w:val="21"/>
        </w:rPr>
        <w:t>3.1第一个信封初步评审</w:t>
      </w:r>
    </w:p>
    <w:p>
      <w:pPr>
        <w:widowControl/>
        <w:snapToGrid w:val="0"/>
        <w:spacing w:line="360" w:lineRule="auto"/>
        <w:ind w:firstLine="440" w:firstLineChars="200"/>
        <w:jc w:val="left"/>
        <w:rPr>
          <w:sz w:val="22"/>
          <w:szCs w:val="21"/>
        </w:rPr>
      </w:pPr>
      <w:r>
        <w:rPr>
          <w:sz w:val="22"/>
          <w:szCs w:val="21"/>
        </w:rPr>
        <w:t>3.1.1评标委员会可以要求投标人提交第二章</w:t>
      </w:r>
      <w:r>
        <w:rPr>
          <w:rFonts w:hint="eastAsia" w:ascii="宋体" w:hAnsi="宋体" w:cs="宋体"/>
          <w:sz w:val="22"/>
          <w:szCs w:val="21"/>
        </w:rPr>
        <w:t>“投标人须知”</w:t>
      </w:r>
      <w:r>
        <w:rPr>
          <w:sz w:val="22"/>
          <w:szCs w:val="21"/>
        </w:rPr>
        <w:t>第3.5.1项至第3.5.5项规定的有关证明和证件的原件，以便核验。评标委员会依据本章第2.1款规定的标准对投标文件第一个信封</w:t>
      </w:r>
      <w:r>
        <w:rPr>
          <w:rFonts w:hint="eastAsia"/>
          <w:sz w:val="22"/>
          <w:szCs w:val="21"/>
        </w:rPr>
        <w:t>（</w:t>
      </w:r>
      <w:r>
        <w:rPr>
          <w:sz w:val="22"/>
          <w:szCs w:val="21"/>
        </w:rPr>
        <w:t>商务及技术文件</w:t>
      </w:r>
      <w:r>
        <w:rPr>
          <w:rFonts w:hint="eastAsia"/>
          <w:sz w:val="22"/>
          <w:szCs w:val="21"/>
        </w:rPr>
        <w:t>）</w:t>
      </w:r>
      <w:r>
        <w:rPr>
          <w:sz w:val="22"/>
          <w:szCs w:val="21"/>
        </w:rPr>
        <w:t>进行初步评审。有一项不符合评审标准的，评标委员会应否决其投标。</w:t>
      </w:r>
    </w:p>
    <w:p>
      <w:pPr>
        <w:widowControl/>
        <w:snapToGrid w:val="0"/>
        <w:spacing w:line="360" w:lineRule="auto"/>
        <w:jc w:val="left"/>
        <w:outlineLvl w:val="2"/>
        <w:rPr>
          <w:rFonts w:eastAsia="黑体"/>
          <w:kern w:val="0"/>
          <w:sz w:val="22"/>
          <w:szCs w:val="21"/>
        </w:rPr>
      </w:pPr>
      <w:r>
        <w:rPr>
          <w:rFonts w:eastAsia="黑体"/>
          <w:kern w:val="0"/>
          <w:sz w:val="22"/>
          <w:szCs w:val="21"/>
        </w:rPr>
        <w:t>3.2 第一个信封详细评审</w:t>
      </w:r>
    </w:p>
    <w:p>
      <w:pPr>
        <w:widowControl/>
        <w:snapToGrid w:val="0"/>
        <w:spacing w:line="360" w:lineRule="auto"/>
        <w:ind w:firstLine="440" w:firstLineChars="200"/>
        <w:jc w:val="left"/>
        <w:rPr>
          <w:sz w:val="22"/>
          <w:szCs w:val="21"/>
        </w:rPr>
      </w:pPr>
      <w:r>
        <w:rPr>
          <w:sz w:val="22"/>
          <w:szCs w:val="21"/>
        </w:rPr>
        <w:t>3.2.1评标委员会按本章第2.2款规定的量化因素和分值进行打分，并计算出各投标人的商务和技术得分。</w:t>
      </w:r>
    </w:p>
    <w:p>
      <w:pPr>
        <w:widowControl/>
        <w:snapToGrid w:val="0"/>
        <w:spacing w:line="360" w:lineRule="auto"/>
        <w:ind w:firstLine="440" w:firstLineChars="200"/>
        <w:jc w:val="left"/>
        <w:rPr>
          <w:sz w:val="22"/>
          <w:szCs w:val="21"/>
        </w:rPr>
      </w:pPr>
      <w:r>
        <w:rPr>
          <w:rFonts w:hint="eastAsia"/>
          <w:sz w:val="22"/>
          <w:szCs w:val="21"/>
        </w:rPr>
        <w:t>（1）</w:t>
      </w:r>
      <w:r>
        <w:rPr>
          <w:sz w:val="22"/>
          <w:szCs w:val="21"/>
        </w:rPr>
        <w:t>按本章第2.2.4项</w:t>
      </w:r>
      <w:r>
        <w:rPr>
          <w:rFonts w:hint="eastAsia"/>
          <w:sz w:val="22"/>
          <w:szCs w:val="21"/>
        </w:rPr>
        <w:t>（1）目</w:t>
      </w:r>
      <w:r>
        <w:rPr>
          <w:sz w:val="22"/>
          <w:szCs w:val="21"/>
        </w:rPr>
        <w:t>规定的评审因素和分值对技术建议书部分计算出得分A</w:t>
      </w:r>
      <w:r>
        <w:rPr>
          <w:rFonts w:hint="eastAsia"/>
          <w:sz w:val="22"/>
          <w:szCs w:val="21"/>
        </w:rPr>
        <w:t>；</w:t>
      </w:r>
    </w:p>
    <w:p>
      <w:pPr>
        <w:widowControl/>
        <w:snapToGrid w:val="0"/>
        <w:spacing w:line="360" w:lineRule="auto"/>
        <w:ind w:firstLine="440" w:firstLineChars="200"/>
        <w:jc w:val="left"/>
        <w:rPr>
          <w:sz w:val="22"/>
          <w:szCs w:val="21"/>
        </w:rPr>
      </w:pPr>
      <w:r>
        <w:rPr>
          <w:rFonts w:hint="eastAsia"/>
          <w:sz w:val="22"/>
          <w:szCs w:val="21"/>
        </w:rPr>
        <w:t>（2）</w:t>
      </w:r>
      <w:r>
        <w:rPr>
          <w:sz w:val="22"/>
          <w:szCs w:val="21"/>
        </w:rPr>
        <w:t>按本章第2.2.4项</w:t>
      </w:r>
      <w:r>
        <w:rPr>
          <w:rFonts w:hint="eastAsia"/>
          <w:sz w:val="22"/>
          <w:szCs w:val="21"/>
        </w:rPr>
        <w:t>（2）</w:t>
      </w:r>
      <w:r>
        <w:rPr>
          <w:sz w:val="22"/>
          <w:szCs w:val="21"/>
        </w:rPr>
        <w:t>目规定的评审因素和分值对主要人员部分计算出得分B</w:t>
      </w:r>
      <w:r>
        <w:rPr>
          <w:rFonts w:hint="eastAsia"/>
          <w:sz w:val="22"/>
          <w:szCs w:val="21"/>
        </w:rPr>
        <w:t>；</w:t>
      </w:r>
    </w:p>
    <w:p>
      <w:pPr>
        <w:widowControl/>
        <w:snapToGrid w:val="0"/>
        <w:spacing w:line="360" w:lineRule="auto"/>
        <w:ind w:left="458" w:leftChars="218"/>
        <w:jc w:val="left"/>
        <w:rPr>
          <w:sz w:val="22"/>
          <w:szCs w:val="21"/>
        </w:rPr>
      </w:pPr>
      <w:r>
        <w:rPr>
          <w:rFonts w:hint="eastAsia"/>
          <w:sz w:val="22"/>
          <w:szCs w:val="21"/>
        </w:rPr>
        <w:t>（3）</w:t>
      </w:r>
      <w:r>
        <w:rPr>
          <w:sz w:val="22"/>
          <w:szCs w:val="21"/>
        </w:rPr>
        <w:t>按本章第2.2.4项</w:t>
      </w:r>
      <w:r>
        <w:rPr>
          <w:rFonts w:hint="eastAsia"/>
          <w:sz w:val="22"/>
          <w:szCs w:val="21"/>
        </w:rPr>
        <w:t>（4）</w:t>
      </w:r>
      <w:r>
        <w:rPr>
          <w:sz w:val="22"/>
          <w:szCs w:val="21"/>
        </w:rPr>
        <w:t>目规定的评审因素和分值对其他部分计算出得分D</w:t>
      </w:r>
      <w:r>
        <w:rPr>
          <w:rFonts w:hint="eastAsia"/>
          <w:sz w:val="22"/>
          <w:szCs w:val="21"/>
        </w:rPr>
        <w:t>。</w:t>
      </w:r>
    </w:p>
    <w:p>
      <w:pPr>
        <w:widowControl/>
        <w:snapToGrid w:val="0"/>
        <w:spacing w:line="360" w:lineRule="auto"/>
        <w:ind w:firstLine="440" w:firstLineChars="200"/>
        <w:jc w:val="left"/>
        <w:rPr>
          <w:sz w:val="22"/>
          <w:szCs w:val="21"/>
        </w:rPr>
      </w:pPr>
      <w:r>
        <w:rPr>
          <w:sz w:val="22"/>
          <w:szCs w:val="21"/>
        </w:rPr>
        <w:t>3.2.2 投标人的商务和技术得分分值</w:t>
      </w:r>
      <w:r>
        <w:rPr>
          <w:rFonts w:hint="eastAsia"/>
          <w:sz w:val="22"/>
          <w:szCs w:val="21"/>
        </w:rPr>
        <w:t>计</w:t>
      </w:r>
      <w:r>
        <w:rPr>
          <w:sz w:val="22"/>
          <w:szCs w:val="21"/>
        </w:rPr>
        <w:t>算保留小数点后两位，小数点后第三位</w:t>
      </w:r>
      <w:r>
        <w:rPr>
          <w:rFonts w:hint="eastAsia" w:ascii="宋体" w:hAnsi="宋体" w:cs="宋体"/>
          <w:sz w:val="22"/>
          <w:szCs w:val="21"/>
        </w:rPr>
        <w:t>“四舍五入”</w:t>
      </w:r>
      <w:r>
        <w:rPr>
          <w:sz w:val="22"/>
          <w:szCs w:val="21"/>
        </w:rPr>
        <w:t>。</w:t>
      </w:r>
    </w:p>
    <w:p>
      <w:pPr>
        <w:widowControl/>
        <w:snapToGrid w:val="0"/>
        <w:spacing w:line="360" w:lineRule="auto"/>
        <w:ind w:firstLine="440" w:firstLineChars="200"/>
        <w:jc w:val="left"/>
        <w:rPr>
          <w:sz w:val="22"/>
          <w:szCs w:val="21"/>
        </w:rPr>
      </w:pPr>
      <w:r>
        <w:rPr>
          <w:sz w:val="22"/>
          <w:szCs w:val="21"/>
        </w:rPr>
        <w:t>3.2.3 投标人的商务和技术得分=A+B+D。</w:t>
      </w:r>
    </w:p>
    <w:p>
      <w:pPr>
        <w:widowControl/>
        <w:snapToGrid w:val="0"/>
        <w:spacing w:line="360" w:lineRule="auto"/>
        <w:jc w:val="left"/>
        <w:outlineLvl w:val="2"/>
        <w:rPr>
          <w:rFonts w:eastAsia="黑体"/>
          <w:kern w:val="0"/>
          <w:sz w:val="22"/>
          <w:szCs w:val="21"/>
        </w:rPr>
      </w:pPr>
      <w:r>
        <w:rPr>
          <w:rFonts w:eastAsia="黑体"/>
          <w:kern w:val="0"/>
          <w:sz w:val="22"/>
          <w:szCs w:val="21"/>
        </w:rPr>
        <w:t>3.3 第二个信封开标</w:t>
      </w:r>
    </w:p>
    <w:p>
      <w:pPr>
        <w:widowControl/>
        <w:snapToGrid w:val="0"/>
        <w:spacing w:line="360" w:lineRule="auto"/>
        <w:ind w:firstLine="440" w:firstLineChars="200"/>
        <w:jc w:val="left"/>
        <w:rPr>
          <w:sz w:val="22"/>
          <w:szCs w:val="21"/>
        </w:rPr>
      </w:pPr>
      <w:r>
        <w:rPr>
          <w:sz w:val="22"/>
          <w:szCs w:val="21"/>
        </w:rPr>
        <w:t>第一个信封</w:t>
      </w:r>
      <w:r>
        <w:rPr>
          <w:rFonts w:hint="eastAsia"/>
          <w:sz w:val="22"/>
          <w:szCs w:val="21"/>
        </w:rPr>
        <w:t>（</w:t>
      </w:r>
      <w:r>
        <w:rPr>
          <w:sz w:val="22"/>
          <w:szCs w:val="21"/>
        </w:rPr>
        <w:t>商务及技术文件</w:t>
      </w:r>
      <w:r>
        <w:rPr>
          <w:rFonts w:hint="eastAsia"/>
          <w:sz w:val="22"/>
          <w:szCs w:val="21"/>
        </w:rPr>
        <w:t>）</w:t>
      </w:r>
      <w:r>
        <w:rPr>
          <w:sz w:val="22"/>
          <w:szCs w:val="21"/>
        </w:rPr>
        <w:t>评审结束后，招标人将按照第二章</w:t>
      </w:r>
      <w:r>
        <w:rPr>
          <w:rFonts w:hint="eastAsia" w:ascii="宋体" w:hAnsi="宋体" w:cs="宋体"/>
          <w:sz w:val="22"/>
          <w:szCs w:val="21"/>
        </w:rPr>
        <w:t>“投标人须知”</w:t>
      </w:r>
      <w:r>
        <w:rPr>
          <w:sz w:val="22"/>
          <w:szCs w:val="21"/>
        </w:rPr>
        <w:t>第5.1款规定的时间和地点对通过投标文件第一个信封</w:t>
      </w:r>
      <w:r>
        <w:rPr>
          <w:rFonts w:hint="eastAsia"/>
          <w:sz w:val="22"/>
          <w:szCs w:val="21"/>
        </w:rPr>
        <w:t>（</w:t>
      </w:r>
      <w:r>
        <w:rPr>
          <w:sz w:val="22"/>
          <w:szCs w:val="21"/>
        </w:rPr>
        <w:t>商务及技术文件</w:t>
      </w:r>
      <w:r>
        <w:rPr>
          <w:rFonts w:hint="eastAsia"/>
          <w:sz w:val="22"/>
          <w:szCs w:val="21"/>
        </w:rPr>
        <w:t>）</w:t>
      </w:r>
      <w:r>
        <w:rPr>
          <w:sz w:val="22"/>
          <w:szCs w:val="21"/>
        </w:rPr>
        <w:t>评审的投标文件第二个信封</w:t>
      </w:r>
      <w:r>
        <w:rPr>
          <w:rFonts w:hint="eastAsia"/>
          <w:sz w:val="22"/>
          <w:szCs w:val="21"/>
        </w:rPr>
        <w:t>（</w:t>
      </w:r>
      <w:r>
        <w:rPr>
          <w:sz w:val="22"/>
          <w:szCs w:val="21"/>
        </w:rPr>
        <w:t>报价文件</w:t>
      </w:r>
      <w:r>
        <w:rPr>
          <w:rFonts w:hint="eastAsia"/>
          <w:sz w:val="22"/>
          <w:szCs w:val="21"/>
        </w:rPr>
        <w:t>）</w:t>
      </w:r>
      <w:r>
        <w:rPr>
          <w:sz w:val="22"/>
          <w:szCs w:val="21"/>
        </w:rPr>
        <w:t>进行开标。</w:t>
      </w:r>
    </w:p>
    <w:p>
      <w:pPr>
        <w:widowControl/>
        <w:snapToGrid w:val="0"/>
        <w:spacing w:line="360" w:lineRule="auto"/>
        <w:jc w:val="left"/>
        <w:outlineLvl w:val="2"/>
        <w:rPr>
          <w:rFonts w:eastAsia="黑体"/>
          <w:kern w:val="0"/>
          <w:sz w:val="22"/>
          <w:szCs w:val="21"/>
        </w:rPr>
      </w:pPr>
      <w:r>
        <w:rPr>
          <w:rFonts w:eastAsia="黑体"/>
          <w:kern w:val="0"/>
          <w:sz w:val="22"/>
          <w:szCs w:val="21"/>
        </w:rPr>
        <w:t>3.4 第二个信封初步评审</w:t>
      </w:r>
    </w:p>
    <w:p>
      <w:pPr>
        <w:widowControl/>
        <w:snapToGrid w:val="0"/>
        <w:spacing w:line="360" w:lineRule="auto"/>
        <w:ind w:firstLine="440" w:firstLineChars="200"/>
        <w:jc w:val="left"/>
        <w:rPr>
          <w:sz w:val="22"/>
          <w:szCs w:val="21"/>
        </w:rPr>
      </w:pPr>
      <w:r>
        <w:rPr>
          <w:sz w:val="22"/>
          <w:szCs w:val="21"/>
        </w:rPr>
        <w:t>3.4.1评标委员会依据本章第2.1.1项、第2.1.3项规定的评审标准对投标文件第</w:t>
      </w:r>
      <w:r>
        <w:rPr>
          <w:rFonts w:hint="eastAsia"/>
          <w:sz w:val="22"/>
          <w:szCs w:val="21"/>
        </w:rPr>
        <w:t>二</w:t>
      </w:r>
      <w:r>
        <w:rPr>
          <w:sz w:val="22"/>
          <w:szCs w:val="21"/>
        </w:rPr>
        <w:t>个信封</w:t>
      </w:r>
      <w:r>
        <w:rPr>
          <w:rFonts w:hint="eastAsia"/>
          <w:sz w:val="22"/>
          <w:szCs w:val="21"/>
        </w:rPr>
        <w:t>（</w:t>
      </w:r>
      <w:r>
        <w:rPr>
          <w:sz w:val="22"/>
          <w:szCs w:val="21"/>
        </w:rPr>
        <w:t>报价文件</w:t>
      </w:r>
      <w:r>
        <w:rPr>
          <w:rFonts w:hint="eastAsia"/>
          <w:sz w:val="22"/>
          <w:szCs w:val="21"/>
        </w:rPr>
        <w:t>）</w:t>
      </w:r>
      <w:r>
        <w:rPr>
          <w:sz w:val="22"/>
          <w:szCs w:val="21"/>
        </w:rPr>
        <w:t>进行初步评审。有一项不符合评审标准的，评标委员会应否决其投标。</w:t>
      </w:r>
    </w:p>
    <w:p>
      <w:pPr>
        <w:widowControl/>
        <w:snapToGrid w:val="0"/>
        <w:spacing w:line="360" w:lineRule="auto"/>
        <w:ind w:firstLine="440" w:firstLineChars="200"/>
        <w:jc w:val="left"/>
        <w:rPr>
          <w:sz w:val="22"/>
          <w:szCs w:val="21"/>
        </w:rPr>
      </w:pPr>
      <w:r>
        <w:rPr>
          <w:sz w:val="22"/>
          <w:szCs w:val="21"/>
        </w:rPr>
        <w:t>3.4.2 投标报价有算术错误的，评标委员会按以下原则对投标报价进行修正，修正的价格经投标人书面确认后具有约束力。投标人不接受修正价格的，评标委员会应否决其投标。</w:t>
      </w:r>
    </w:p>
    <w:p>
      <w:pPr>
        <w:widowControl/>
        <w:snapToGrid w:val="0"/>
        <w:spacing w:line="360" w:lineRule="auto"/>
        <w:ind w:firstLine="440" w:firstLineChars="200"/>
        <w:jc w:val="left"/>
        <w:rPr>
          <w:sz w:val="22"/>
          <w:szCs w:val="21"/>
        </w:rPr>
      </w:pPr>
      <w:r>
        <w:rPr>
          <w:rFonts w:hint="eastAsia"/>
          <w:sz w:val="22"/>
          <w:szCs w:val="21"/>
        </w:rPr>
        <w:t>（1）</w:t>
      </w:r>
      <w:r>
        <w:rPr>
          <w:sz w:val="22"/>
          <w:szCs w:val="21"/>
        </w:rPr>
        <w:t>投标文件中的大写金额与小写金额不一致的，以大写金额为准</w:t>
      </w:r>
      <w:r>
        <w:rPr>
          <w:rFonts w:hint="eastAsia"/>
          <w:sz w:val="22"/>
          <w:szCs w:val="21"/>
        </w:rPr>
        <w:t>；</w:t>
      </w:r>
    </w:p>
    <w:p>
      <w:pPr>
        <w:widowControl/>
        <w:snapToGrid w:val="0"/>
        <w:spacing w:line="360" w:lineRule="auto"/>
        <w:ind w:firstLine="440" w:firstLineChars="200"/>
        <w:jc w:val="left"/>
        <w:rPr>
          <w:sz w:val="22"/>
          <w:szCs w:val="21"/>
        </w:rPr>
      </w:pPr>
      <w:r>
        <w:rPr>
          <w:rFonts w:hint="eastAsia"/>
          <w:sz w:val="22"/>
          <w:szCs w:val="21"/>
        </w:rPr>
        <w:t>（2）</w:t>
      </w:r>
      <w:r>
        <w:rPr>
          <w:sz w:val="22"/>
          <w:szCs w:val="21"/>
        </w:rPr>
        <w:t>总价金额与依据单价计算出的结果不致的，以单价金额为准修正总价，但单价金额小数点有明显错误的除外</w:t>
      </w:r>
      <w:r>
        <w:rPr>
          <w:rFonts w:hint="eastAsia"/>
          <w:sz w:val="22"/>
          <w:szCs w:val="21"/>
        </w:rPr>
        <w:t>；</w:t>
      </w:r>
    </w:p>
    <w:p>
      <w:pPr>
        <w:widowControl/>
        <w:snapToGrid w:val="0"/>
        <w:spacing w:line="360" w:lineRule="auto"/>
        <w:ind w:firstLine="440" w:firstLineChars="200"/>
        <w:jc w:val="left"/>
        <w:rPr>
          <w:sz w:val="22"/>
          <w:szCs w:val="21"/>
        </w:rPr>
      </w:pPr>
      <w:r>
        <w:rPr>
          <w:rFonts w:hint="eastAsia"/>
          <w:sz w:val="22"/>
          <w:szCs w:val="21"/>
        </w:rPr>
        <w:t>（3）</w:t>
      </w:r>
      <w:r>
        <w:rPr>
          <w:sz w:val="22"/>
          <w:szCs w:val="21"/>
        </w:rPr>
        <w:t>当单价与数量相乘不等于合价时，以单价计算为准，如果单价有明显的小数点位置差错，应以标出的合价为准，同时对单价予以修正</w:t>
      </w:r>
      <w:r>
        <w:rPr>
          <w:rFonts w:hint="eastAsia"/>
          <w:sz w:val="22"/>
          <w:szCs w:val="21"/>
        </w:rPr>
        <w:t>；</w:t>
      </w:r>
    </w:p>
    <w:p>
      <w:pPr>
        <w:widowControl/>
        <w:snapToGrid w:val="0"/>
        <w:spacing w:line="360" w:lineRule="auto"/>
        <w:ind w:firstLine="440" w:firstLineChars="200"/>
        <w:jc w:val="left"/>
        <w:rPr>
          <w:sz w:val="22"/>
          <w:szCs w:val="21"/>
        </w:rPr>
      </w:pPr>
      <w:r>
        <w:rPr>
          <w:rFonts w:hint="eastAsia"/>
          <w:sz w:val="22"/>
          <w:szCs w:val="21"/>
        </w:rPr>
        <w:t>（4）</w:t>
      </w:r>
      <w:r>
        <w:rPr>
          <w:sz w:val="22"/>
          <w:szCs w:val="21"/>
        </w:rPr>
        <w:t>当各子目的合价累计不等于总价时，应以各子目合价累计数为准，修正总价。</w:t>
      </w:r>
    </w:p>
    <w:p>
      <w:pPr>
        <w:widowControl/>
        <w:snapToGrid w:val="0"/>
        <w:spacing w:line="360" w:lineRule="auto"/>
        <w:ind w:firstLine="440" w:firstLineChars="200"/>
        <w:jc w:val="left"/>
        <w:rPr>
          <w:sz w:val="22"/>
          <w:szCs w:val="21"/>
        </w:rPr>
      </w:pPr>
      <w:r>
        <w:rPr>
          <w:sz w:val="22"/>
          <w:szCs w:val="21"/>
        </w:rPr>
        <w:t>3.4.3 修正后的最终投标报价若超过最高投标限价</w:t>
      </w:r>
      <w:r>
        <w:rPr>
          <w:rFonts w:hint="eastAsia"/>
          <w:sz w:val="22"/>
          <w:szCs w:val="21"/>
        </w:rPr>
        <w:t>（</w:t>
      </w:r>
      <w:r>
        <w:rPr>
          <w:sz w:val="22"/>
          <w:szCs w:val="21"/>
        </w:rPr>
        <w:t>如有</w:t>
      </w:r>
      <w:r>
        <w:rPr>
          <w:rFonts w:hint="eastAsia"/>
          <w:sz w:val="22"/>
          <w:szCs w:val="21"/>
        </w:rPr>
        <w:t>）</w:t>
      </w:r>
      <w:r>
        <w:rPr>
          <w:sz w:val="22"/>
          <w:szCs w:val="21"/>
        </w:rPr>
        <w:t>，评标委员会应否决其投标。</w:t>
      </w:r>
    </w:p>
    <w:p>
      <w:pPr>
        <w:widowControl/>
        <w:snapToGrid w:val="0"/>
        <w:spacing w:line="360" w:lineRule="auto"/>
        <w:ind w:firstLine="440" w:firstLineChars="200"/>
        <w:jc w:val="left"/>
        <w:rPr>
          <w:sz w:val="22"/>
          <w:szCs w:val="21"/>
        </w:rPr>
      </w:pPr>
      <w:r>
        <w:rPr>
          <w:sz w:val="22"/>
          <w:szCs w:val="21"/>
        </w:rPr>
        <w:t>3.4.4 修正后的最终投标报价仅作为签订合同的一个依据，不参与评标价得分的计算。</w:t>
      </w:r>
    </w:p>
    <w:p>
      <w:pPr>
        <w:widowControl/>
        <w:snapToGrid w:val="0"/>
        <w:spacing w:line="360" w:lineRule="auto"/>
        <w:jc w:val="left"/>
        <w:outlineLvl w:val="2"/>
        <w:rPr>
          <w:rFonts w:eastAsia="黑体"/>
          <w:kern w:val="0"/>
          <w:sz w:val="22"/>
          <w:szCs w:val="21"/>
        </w:rPr>
      </w:pPr>
      <w:r>
        <w:rPr>
          <w:rFonts w:eastAsia="黑体"/>
          <w:kern w:val="0"/>
          <w:sz w:val="22"/>
          <w:szCs w:val="21"/>
        </w:rPr>
        <w:t>3.5 第二个信封详细评审</w:t>
      </w:r>
    </w:p>
    <w:p>
      <w:pPr>
        <w:widowControl/>
        <w:snapToGrid w:val="0"/>
        <w:spacing w:line="360" w:lineRule="auto"/>
        <w:ind w:firstLine="440" w:firstLineChars="200"/>
        <w:jc w:val="left"/>
        <w:rPr>
          <w:sz w:val="22"/>
          <w:szCs w:val="21"/>
        </w:rPr>
      </w:pPr>
      <w:r>
        <w:rPr>
          <w:sz w:val="22"/>
          <w:szCs w:val="21"/>
        </w:rPr>
        <w:t>3.5.1评标委员会按本章第2.2.4项</w:t>
      </w:r>
      <w:r>
        <w:rPr>
          <w:rFonts w:hint="eastAsia"/>
          <w:sz w:val="22"/>
          <w:szCs w:val="21"/>
        </w:rPr>
        <w:t>（3）</w:t>
      </w:r>
      <w:r>
        <w:rPr>
          <w:sz w:val="22"/>
          <w:szCs w:val="21"/>
        </w:rPr>
        <w:t>目规定的评审因素和分值对评标价计算出得分C。评标价得分分值计算保留小数点后两位，小数点后第三位</w:t>
      </w:r>
      <w:r>
        <w:rPr>
          <w:rFonts w:hint="eastAsia" w:ascii="宋体" w:hAnsi="宋体" w:cs="宋体"/>
          <w:sz w:val="22"/>
          <w:szCs w:val="21"/>
        </w:rPr>
        <w:t>“四舍五入”。</w:t>
      </w:r>
    </w:p>
    <w:p>
      <w:pPr>
        <w:widowControl/>
        <w:snapToGrid w:val="0"/>
        <w:spacing w:line="360" w:lineRule="auto"/>
        <w:ind w:firstLine="440" w:firstLineChars="200"/>
        <w:jc w:val="left"/>
        <w:rPr>
          <w:sz w:val="22"/>
          <w:szCs w:val="21"/>
        </w:rPr>
      </w:pPr>
      <w:r>
        <w:rPr>
          <w:sz w:val="22"/>
          <w:szCs w:val="21"/>
        </w:rPr>
        <w:t>3.5.2 投标人综合得分=投标人的商务和技术得分+C。</w:t>
      </w:r>
    </w:p>
    <w:p>
      <w:pPr>
        <w:widowControl/>
        <w:snapToGrid w:val="0"/>
        <w:spacing w:line="360" w:lineRule="auto"/>
        <w:ind w:firstLine="440" w:firstLineChars="200"/>
        <w:jc w:val="left"/>
        <w:rPr>
          <w:sz w:val="22"/>
          <w:szCs w:val="21"/>
        </w:rPr>
      </w:pPr>
      <w:r>
        <w:rPr>
          <w:sz w:val="22"/>
          <w:szCs w:val="21"/>
        </w:rPr>
        <w:t>3.5.3 评标委员会发现投标人的报价明显低于其他投标报价，使得其投标报价可能低于其个别成本的，应要求该投标人作出书面说明并提供相应的证明材料。投标人不能合埋说明或不能提供相应证明材料的，评标委员会应认定该投标人以低于成本报价竞标，并否决其投标。</w:t>
      </w:r>
    </w:p>
    <w:p>
      <w:pPr>
        <w:widowControl/>
        <w:snapToGrid w:val="0"/>
        <w:spacing w:line="360" w:lineRule="auto"/>
        <w:jc w:val="left"/>
        <w:outlineLvl w:val="2"/>
        <w:rPr>
          <w:rFonts w:eastAsia="黑体"/>
          <w:kern w:val="0"/>
          <w:sz w:val="22"/>
          <w:szCs w:val="21"/>
        </w:rPr>
      </w:pPr>
      <w:r>
        <w:rPr>
          <w:rFonts w:eastAsia="黑体"/>
          <w:kern w:val="0"/>
          <w:sz w:val="22"/>
          <w:szCs w:val="21"/>
        </w:rPr>
        <w:t>3.6 投标文件相关信息的核查</w:t>
      </w:r>
    </w:p>
    <w:p>
      <w:pPr>
        <w:widowControl/>
        <w:snapToGrid w:val="0"/>
        <w:spacing w:line="360" w:lineRule="auto"/>
        <w:ind w:firstLine="440" w:firstLineChars="200"/>
        <w:jc w:val="left"/>
        <w:rPr>
          <w:rFonts w:ascii="宋体" w:hAnsi="宋体" w:cs="宋体"/>
          <w:sz w:val="22"/>
          <w:szCs w:val="21"/>
        </w:rPr>
      </w:pPr>
      <w:r>
        <w:rPr>
          <w:sz w:val="22"/>
          <w:szCs w:val="21"/>
        </w:rPr>
        <w:t>3.6.1在评标过程中，评标委员会应查询交通运输主管部门</w:t>
      </w:r>
      <w:r>
        <w:rPr>
          <w:rFonts w:hint="eastAsia" w:ascii="宋体" w:hAnsi="宋体" w:cs="宋体"/>
          <w:sz w:val="22"/>
          <w:szCs w:val="21"/>
        </w:rPr>
        <w:t>“公路建设市场信用信息管理系统”，对投标人的资质、业绩、主要人员资历和目前在岗情况、信用等级等信息进行核实。若投标文件载明的信息与交通运输主管部门“公路建设市场信用信息管理系统”发布的信息不符，使得投标人的资格条件不符合招标文件规定的，评标委员会应否决其投标。</w:t>
      </w:r>
    </w:p>
    <w:p>
      <w:pPr>
        <w:widowControl/>
        <w:snapToGrid w:val="0"/>
        <w:spacing w:line="360" w:lineRule="auto"/>
        <w:ind w:firstLine="440" w:firstLineChars="200"/>
        <w:jc w:val="left"/>
        <w:rPr>
          <w:sz w:val="22"/>
          <w:szCs w:val="21"/>
        </w:rPr>
      </w:pPr>
      <w:r>
        <w:rPr>
          <w:sz w:val="22"/>
          <w:szCs w:val="21"/>
        </w:rPr>
        <w:t>3.6.2 评标委员会应对在评标过程中发现的投标人与投标人之间、投标人与招标人之间存在的串通投标的情形进行评审和认定。投标人存在串通投标、弄虚作假、行贿等违法行为的，评标委员会应否决其投标。</w:t>
      </w:r>
    </w:p>
    <w:p>
      <w:pPr>
        <w:widowControl/>
        <w:snapToGrid w:val="0"/>
        <w:spacing w:line="360" w:lineRule="auto"/>
        <w:ind w:firstLine="440" w:firstLineChars="200"/>
        <w:jc w:val="left"/>
        <w:rPr>
          <w:sz w:val="22"/>
          <w:szCs w:val="21"/>
        </w:rPr>
      </w:pPr>
      <w:r>
        <w:rPr>
          <w:rFonts w:hint="eastAsia"/>
          <w:sz w:val="22"/>
          <w:szCs w:val="21"/>
        </w:rPr>
        <w:t>（1）</w:t>
      </w:r>
      <w:r>
        <w:rPr>
          <w:sz w:val="22"/>
          <w:szCs w:val="21"/>
        </w:rPr>
        <w:t>有下列情形之一的，属于投标人相互串通投标</w:t>
      </w:r>
      <w:r>
        <w:rPr>
          <w:rFonts w:hint="eastAsia"/>
          <w:sz w:val="22"/>
          <w:szCs w:val="21"/>
        </w:rPr>
        <w:t>：</w:t>
      </w:r>
    </w:p>
    <w:p>
      <w:pPr>
        <w:widowControl/>
        <w:snapToGrid w:val="0"/>
        <w:spacing w:line="360" w:lineRule="auto"/>
        <w:ind w:firstLine="440" w:firstLineChars="200"/>
        <w:jc w:val="left"/>
        <w:rPr>
          <w:sz w:val="22"/>
          <w:szCs w:val="21"/>
        </w:rPr>
      </w:pPr>
      <w:r>
        <w:rPr>
          <w:sz w:val="22"/>
          <w:szCs w:val="21"/>
        </w:rPr>
        <w:t>a.投标人之间协商投标报价等投标文件的实质性内容</w:t>
      </w:r>
      <w:r>
        <w:rPr>
          <w:rFonts w:hint="eastAsia"/>
          <w:sz w:val="22"/>
          <w:szCs w:val="21"/>
        </w:rPr>
        <w:t>；</w:t>
      </w:r>
    </w:p>
    <w:p>
      <w:pPr>
        <w:widowControl/>
        <w:snapToGrid w:val="0"/>
        <w:spacing w:line="360" w:lineRule="auto"/>
        <w:ind w:firstLine="440" w:firstLineChars="200"/>
        <w:jc w:val="left"/>
        <w:rPr>
          <w:sz w:val="22"/>
          <w:szCs w:val="21"/>
        </w:rPr>
      </w:pPr>
      <w:r>
        <w:rPr>
          <w:sz w:val="22"/>
          <w:szCs w:val="21"/>
        </w:rPr>
        <w:t>b.投标人之间约定中标人</w:t>
      </w:r>
      <w:r>
        <w:rPr>
          <w:rFonts w:hint="eastAsia"/>
          <w:sz w:val="22"/>
          <w:szCs w:val="21"/>
        </w:rPr>
        <w:t>；</w:t>
      </w:r>
    </w:p>
    <w:p>
      <w:pPr>
        <w:widowControl/>
        <w:snapToGrid w:val="0"/>
        <w:spacing w:line="360" w:lineRule="auto"/>
        <w:ind w:firstLine="440" w:firstLineChars="200"/>
        <w:jc w:val="left"/>
        <w:rPr>
          <w:sz w:val="22"/>
          <w:szCs w:val="21"/>
        </w:rPr>
      </w:pPr>
      <w:r>
        <w:rPr>
          <w:rFonts w:hint="eastAsia"/>
          <w:sz w:val="22"/>
          <w:szCs w:val="21"/>
        </w:rPr>
        <w:t>c</w:t>
      </w:r>
      <w:r>
        <w:rPr>
          <w:sz w:val="22"/>
          <w:szCs w:val="21"/>
        </w:rPr>
        <w:t>.投标人之间约定部分投标人放弃投标或中标</w:t>
      </w:r>
      <w:r>
        <w:rPr>
          <w:rFonts w:hint="eastAsia"/>
          <w:sz w:val="22"/>
          <w:szCs w:val="21"/>
        </w:rPr>
        <w:t>；</w:t>
      </w:r>
    </w:p>
    <w:p>
      <w:pPr>
        <w:widowControl/>
        <w:snapToGrid w:val="0"/>
        <w:spacing w:line="360" w:lineRule="auto"/>
        <w:ind w:firstLine="440" w:firstLineChars="200"/>
        <w:jc w:val="left"/>
        <w:rPr>
          <w:sz w:val="22"/>
          <w:szCs w:val="21"/>
        </w:rPr>
      </w:pPr>
      <w:r>
        <w:rPr>
          <w:sz w:val="22"/>
          <w:szCs w:val="21"/>
        </w:rPr>
        <w:t>d.属于同一集团、协会、商会等组织成员的投标人按照该组织要求协同投标</w:t>
      </w:r>
      <w:r>
        <w:rPr>
          <w:rFonts w:hint="eastAsia"/>
          <w:sz w:val="22"/>
          <w:szCs w:val="21"/>
        </w:rPr>
        <w:t>；</w:t>
      </w:r>
    </w:p>
    <w:p>
      <w:pPr>
        <w:widowControl/>
        <w:snapToGrid w:val="0"/>
        <w:spacing w:line="360" w:lineRule="auto"/>
        <w:ind w:firstLine="440" w:firstLineChars="200"/>
        <w:jc w:val="left"/>
        <w:rPr>
          <w:sz w:val="22"/>
          <w:szCs w:val="21"/>
        </w:rPr>
      </w:pPr>
      <w:r>
        <w:rPr>
          <w:sz w:val="22"/>
          <w:szCs w:val="21"/>
        </w:rPr>
        <w:t>e.投标人之间为谋取中标或排斥特定投标人而采取的其他联合行动。</w:t>
      </w:r>
    </w:p>
    <w:p>
      <w:pPr>
        <w:widowControl/>
        <w:snapToGrid w:val="0"/>
        <w:spacing w:line="360" w:lineRule="auto"/>
        <w:ind w:firstLine="440" w:firstLineChars="200"/>
        <w:jc w:val="left"/>
        <w:rPr>
          <w:sz w:val="22"/>
          <w:szCs w:val="21"/>
        </w:rPr>
      </w:pPr>
      <w:r>
        <w:rPr>
          <w:rFonts w:hint="eastAsia"/>
          <w:sz w:val="22"/>
          <w:szCs w:val="21"/>
        </w:rPr>
        <w:t>（2）</w:t>
      </w:r>
      <w:r>
        <w:rPr>
          <w:sz w:val="22"/>
          <w:szCs w:val="21"/>
        </w:rPr>
        <w:t>有下列情形之一的，视为投标人相互串通投标</w:t>
      </w:r>
      <w:r>
        <w:rPr>
          <w:rFonts w:hint="eastAsia"/>
          <w:sz w:val="22"/>
          <w:szCs w:val="21"/>
        </w:rPr>
        <w:t>：</w:t>
      </w:r>
    </w:p>
    <w:p>
      <w:pPr>
        <w:widowControl/>
        <w:snapToGrid w:val="0"/>
        <w:spacing w:line="360" w:lineRule="auto"/>
        <w:ind w:firstLine="440" w:firstLineChars="200"/>
        <w:jc w:val="left"/>
        <w:rPr>
          <w:sz w:val="22"/>
          <w:szCs w:val="21"/>
        </w:rPr>
      </w:pPr>
      <w:r>
        <w:rPr>
          <w:sz w:val="22"/>
          <w:szCs w:val="21"/>
        </w:rPr>
        <w:t>a.不同投标人的投标文件由同一单位或个人编制</w:t>
      </w:r>
      <w:r>
        <w:rPr>
          <w:rFonts w:hint="eastAsia"/>
          <w:sz w:val="22"/>
          <w:szCs w:val="21"/>
        </w:rPr>
        <w:t>；</w:t>
      </w:r>
    </w:p>
    <w:p>
      <w:pPr>
        <w:widowControl/>
        <w:snapToGrid w:val="0"/>
        <w:spacing w:line="360" w:lineRule="auto"/>
        <w:ind w:firstLine="440" w:firstLineChars="200"/>
        <w:jc w:val="left"/>
        <w:rPr>
          <w:sz w:val="22"/>
          <w:szCs w:val="21"/>
        </w:rPr>
      </w:pPr>
      <w:r>
        <w:rPr>
          <w:sz w:val="22"/>
          <w:szCs w:val="21"/>
        </w:rPr>
        <w:t>b.不同投标人委托同一单位或个人办理投标事宜</w:t>
      </w:r>
      <w:r>
        <w:rPr>
          <w:rFonts w:hint="eastAsia"/>
          <w:sz w:val="22"/>
          <w:szCs w:val="21"/>
        </w:rPr>
        <w:t>；</w:t>
      </w:r>
    </w:p>
    <w:p>
      <w:pPr>
        <w:widowControl/>
        <w:snapToGrid w:val="0"/>
        <w:spacing w:line="360" w:lineRule="auto"/>
        <w:ind w:firstLine="440" w:firstLineChars="200"/>
        <w:jc w:val="left"/>
        <w:rPr>
          <w:sz w:val="22"/>
          <w:szCs w:val="21"/>
        </w:rPr>
      </w:pPr>
      <w:r>
        <w:rPr>
          <w:rFonts w:hint="eastAsia"/>
          <w:sz w:val="22"/>
          <w:szCs w:val="21"/>
        </w:rPr>
        <w:t>c</w:t>
      </w:r>
      <w:r>
        <w:rPr>
          <w:sz w:val="22"/>
          <w:szCs w:val="21"/>
        </w:rPr>
        <w:t>.不同投标人的投标文件载明的项目管理成员为同一人</w:t>
      </w:r>
      <w:r>
        <w:rPr>
          <w:rFonts w:hint="eastAsia"/>
          <w:sz w:val="22"/>
          <w:szCs w:val="21"/>
        </w:rPr>
        <w:t>；</w:t>
      </w:r>
    </w:p>
    <w:p>
      <w:pPr>
        <w:widowControl/>
        <w:snapToGrid w:val="0"/>
        <w:spacing w:line="360" w:lineRule="auto"/>
        <w:ind w:firstLine="440" w:firstLineChars="200"/>
        <w:jc w:val="left"/>
        <w:rPr>
          <w:sz w:val="22"/>
          <w:szCs w:val="21"/>
        </w:rPr>
      </w:pPr>
      <w:r>
        <w:rPr>
          <w:sz w:val="22"/>
          <w:szCs w:val="21"/>
        </w:rPr>
        <w:t>d.不同投标人的投标文件异常一致或投标报价呈规律性差异</w:t>
      </w:r>
      <w:r>
        <w:rPr>
          <w:rFonts w:hint="eastAsia"/>
          <w:sz w:val="22"/>
          <w:szCs w:val="21"/>
        </w:rPr>
        <w:t>；</w:t>
      </w:r>
    </w:p>
    <w:p>
      <w:pPr>
        <w:widowControl/>
        <w:snapToGrid w:val="0"/>
        <w:spacing w:line="360" w:lineRule="auto"/>
        <w:ind w:firstLine="440" w:firstLineChars="200"/>
        <w:jc w:val="left"/>
        <w:rPr>
          <w:sz w:val="22"/>
          <w:szCs w:val="21"/>
        </w:rPr>
      </w:pPr>
      <w:r>
        <w:rPr>
          <w:sz w:val="22"/>
          <w:szCs w:val="21"/>
        </w:rPr>
        <w:t>e.不同投标人的投标文件相互混装</w:t>
      </w:r>
      <w:r>
        <w:rPr>
          <w:rFonts w:hint="eastAsia"/>
          <w:sz w:val="22"/>
          <w:szCs w:val="21"/>
        </w:rPr>
        <w:t>；</w:t>
      </w:r>
    </w:p>
    <w:p>
      <w:pPr>
        <w:widowControl/>
        <w:snapToGrid w:val="0"/>
        <w:spacing w:line="360" w:lineRule="auto"/>
        <w:ind w:firstLine="440" w:firstLineChars="200"/>
        <w:jc w:val="left"/>
        <w:rPr>
          <w:sz w:val="22"/>
          <w:szCs w:val="21"/>
        </w:rPr>
      </w:pPr>
      <w:r>
        <w:rPr>
          <w:sz w:val="22"/>
          <w:szCs w:val="21"/>
        </w:rPr>
        <w:t>f.不同投标人的投标保证金从同一单位或个人的账户转出。</w:t>
      </w:r>
    </w:p>
    <w:p>
      <w:pPr>
        <w:widowControl/>
        <w:snapToGrid w:val="0"/>
        <w:spacing w:line="360" w:lineRule="auto"/>
        <w:ind w:firstLine="440" w:firstLineChars="200"/>
        <w:jc w:val="left"/>
        <w:rPr>
          <w:sz w:val="22"/>
          <w:szCs w:val="21"/>
        </w:rPr>
      </w:pPr>
      <w:r>
        <w:rPr>
          <w:rFonts w:hint="eastAsia"/>
          <w:sz w:val="22"/>
          <w:szCs w:val="21"/>
        </w:rPr>
        <w:t>（3）</w:t>
      </w:r>
      <w:r>
        <w:rPr>
          <w:sz w:val="22"/>
          <w:szCs w:val="21"/>
        </w:rPr>
        <w:t>有下列情形之一的，属于招标人与投标人串通投标</w:t>
      </w:r>
      <w:r>
        <w:rPr>
          <w:rFonts w:hint="eastAsia"/>
          <w:sz w:val="22"/>
          <w:szCs w:val="21"/>
        </w:rPr>
        <w:t>：</w:t>
      </w:r>
    </w:p>
    <w:p>
      <w:pPr>
        <w:widowControl/>
        <w:snapToGrid w:val="0"/>
        <w:spacing w:line="360" w:lineRule="auto"/>
        <w:ind w:firstLine="440" w:firstLineChars="200"/>
        <w:jc w:val="left"/>
        <w:rPr>
          <w:sz w:val="22"/>
          <w:szCs w:val="21"/>
        </w:rPr>
      </w:pPr>
      <w:r>
        <w:rPr>
          <w:sz w:val="22"/>
          <w:szCs w:val="21"/>
        </w:rPr>
        <w:t>a.招标人在开标前开启投标文件并将有关信息泄露给其他投标人</w:t>
      </w:r>
      <w:r>
        <w:rPr>
          <w:rFonts w:hint="eastAsia"/>
          <w:sz w:val="22"/>
          <w:szCs w:val="21"/>
        </w:rPr>
        <w:t>；</w:t>
      </w:r>
    </w:p>
    <w:p>
      <w:pPr>
        <w:widowControl/>
        <w:snapToGrid w:val="0"/>
        <w:spacing w:line="360" w:lineRule="auto"/>
        <w:ind w:firstLine="440" w:firstLineChars="200"/>
        <w:jc w:val="left"/>
        <w:rPr>
          <w:sz w:val="22"/>
          <w:szCs w:val="21"/>
        </w:rPr>
      </w:pPr>
      <w:r>
        <w:rPr>
          <w:sz w:val="22"/>
          <w:szCs w:val="21"/>
        </w:rPr>
        <w:t>b.招标人直接或间接向投标人泄露标底、评标委员会成员等信息</w:t>
      </w:r>
      <w:r>
        <w:rPr>
          <w:rFonts w:hint="eastAsia"/>
          <w:sz w:val="22"/>
          <w:szCs w:val="21"/>
        </w:rPr>
        <w:t>；</w:t>
      </w:r>
    </w:p>
    <w:p>
      <w:pPr>
        <w:widowControl/>
        <w:snapToGrid w:val="0"/>
        <w:spacing w:line="360" w:lineRule="auto"/>
        <w:ind w:firstLine="440" w:firstLineChars="200"/>
        <w:jc w:val="left"/>
        <w:rPr>
          <w:sz w:val="22"/>
          <w:szCs w:val="21"/>
        </w:rPr>
      </w:pPr>
      <w:r>
        <w:rPr>
          <w:rFonts w:hint="eastAsia"/>
          <w:sz w:val="22"/>
          <w:szCs w:val="21"/>
        </w:rPr>
        <w:t>c</w:t>
      </w:r>
      <w:r>
        <w:rPr>
          <w:sz w:val="22"/>
          <w:szCs w:val="21"/>
        </w:rPr>
        <w:t>.招标人明示或暗示投标人压低或抬高投标报价</w:t>
      </w:r>
      <w:r>
        <w:rPr>
          <w:rFonts w:hint="eastAsia"/>
          <w:sz w:val="22"/>
          <w:szCs w:val="21"/>
        </w:rPr>
        <w:t>；</w:t>
      </w:r>
    </w:p>
    <w:p>
      <w:pPr>
        <w:widowControl/>
        <w:snapToGrid w:val="0"/>
        <w:spacing w:line="360" w:lineRule="auto"/>
        <w:ind w:firstLine="440" w:firstLineChars="200"/>
        <w:jc w:val="left"/>
        <w:rPr>
          <w:sz w:val="22"/>
          <w:szCs w:val="21"/>
        </w:rPr>
      </w:pPr>
      <w:r>
        <w:rPr>
          <w:sz w:val="22"/>
          <w:szCs w:val="21"/>
        </w:rPr>
        <w:t>d.招标人授意投标人撤换、修改投标文件</w:t>
      </w:r>
      <w:r>
        <w:rPr>
          <w:rFonts w:hint="eastAsia"/>
          <w:sz w:val="22"/>
          <w:szCs w:val="21"/>
        </w:rPr>
        <w:t>；</w:t>
      </w:r>
    </w:p>
    <w:p>
      <w:pPr>
        <w:widowControl/>
        <w:snapToGrid w:val="0"/>
        <w:spacing w:line="360" w:lineRule="auto"/>
        <w:ind w:firstLine="440" w:firstLineChars="200"/>
        <w:jc w:val="left"/>
        <w:rPr>
          <w:sz w:val="22"/>
          <w:szCs w:val="21"/>
        </w:rPr>
      </w:pPr>
      <w:r>
        <w:rPr>
          <w:rFonts w:hint="eastAsia"/>
          <w:sz w:val="22"/>
          <w:szCs w:val="21"/>
        </w:rPr>
        <w:t>e</w:t>
      </w:r>
      <w:r>
        <w:rPr>
          <w:sz w:val="22"/>
          <w:szCs w:val="21"/>
        </w:rPr>
        <w:t>.招标人明示或暗示投标人为特定投标人中标提供方便</w:t>
      </w:r>
      <w:r>
        <w:rPr>
          <w:rFonts w:hint="eastAsia"/>
          <w:sz w:val="22"/>
          <w:szCs w:val="21"/>
        </w:rPr>
        <w:t>；</w:t>
      </w:r>
    </w:p>
    <w:p>
      <w:pPr>
        <w:widowControl/>
        <w:snapToGrid w:val="0"/>
        <w:spacing w:line="360" w:lineRule="auto"/>
        <w:ind w:firstLine="440" w:firstLineChars="200"/>
        <w:jc w:val="left"/>
        <w:rPr>
          <w:sz w:val="22"/>
          <w:szCs w:val="21"/>
        </w:rPr>
      </w:pPr>
      <w:r>
        <w:rPr>
          <w:sz w:val="22"/>
          <w:szCs w:val="21"/>
        </w:rPr>
        <w:t>f.招标人与投标人为谋求特定投标人中标而采取的其他串通行为。</w:t>
      </w:r>
    </w:p>
    <w:p>
      <w:pPr>
        <w:widowControl/>
        <w:snapToGrid w:val="0"/>
        <w:spacing w:line="360" w:lineRule="auto"/>
        <w:ind w:firstLine="440" w:firstLineChars="200"/>
        <w:jc w:val="left"/>
        <w:rPr>
          <w:sz w:val="22"/>
          <w:szCs w:val="21"/>
        </w:rPr>
      </w:pPr>
      <w:r>
        <w:rPr>
          <w:rFonts w:hint="eastAsia"/>
          <w:sz w:val="22"/>
          <w:szCs w:val="21"/>
        </w:rPr>
        <w:t>（4）</w:t>
      </w:r>
      <w:r>
        <w:rPr>
          <w:sz w:val="22"/>
          <w:szCs w:val="21"/>
        </w:rPr>
        <w:t>投标人有下列情形之一的，属于弄虚作假的行为</w:t>
      </w:r>
      <w:r>
        <w:rPr>
          <w:rFonts w:hint="eastAsia"/>
          <w:sz w:val="22"/>
          <w:szCs w:val="21"/>
        </w:rPr>
        <w:t>：</w:t>
      </w:r>
    </w:p>
    <w:p>
      <w:pPr>
        <w:widowControl/>
        <w:snapToGrid w:val="0"/>
        <w:spacing w:line="360" w:lineRule="auto"/>
        <w:ind w:firstLine="440" w:firstLineChars="200"/>
        <w:jc w:val="left"/>
        <w:rPr>
          <w:sz w:val="22"/>
          <w:szCs w:val="21"/>
        </w:rPr>
      </w:pPr>
      <w:r>
        <w:rPr>
          <w:sz w:val="22"/>
          <w:szCs w:val="21"/>
        </w:rPr>
        <w:t>a.使用通过受让或租借等方式获取的资格、资质证书投标</w:t>
      </w:r>
      <w:r>
        <w:rPr>
          <w:rFonts w:hint="eastAsia"/>
          <w:sz w:val="22"/>
          <w:szCs w:val="21"/>
        </w:rPr>
        <w:t>；</w:t>
      </w:r>
    </w:p>
    <w:p>
      <w:pPr>
        <w:widowControl/>
        <w:snapToGrid w:val="0"/>
        <w:spacing w:line="360" w:lineRule="auto"/>
        <w:ind w:firstLine="440" w:firstLineChars="200"/>
        <w:jc w:val="left"/>
        <w:rPr>
          <w:sz w:val="22"/>
          <w:szCs w:val="21"/>
        </w:rPr>
      </w:pPr>
      <w:r>
        <w:rPr>
          <w:sz w:val="22"/>
          <w:szCs w:val="21"/>
        </w:rPr>
        <w:t>b.使用伪造、变造的许叮让件</w:t>
      </w:r>
      <w:r>
        <w:rPr>
          <w:rFonts w:hint="eastAsia"/>
          <w:sz w:val="22"/>
          <w:szCs w:val="21"/>
        </w:rPr>
        <w:t>；</w:t>
      </w:r>
    </w:p>
    <w:p>
      <w:pPr>
        <w:widowControl/>
        <w:snapToGrid w:val="0"/>
        <w:spacing w:line="360" w:lineRule="auto"/>
        <w:ind w:firstLine="440" w:firstLineChars="200"/>
        <w:jc w:val="left"/>
        <w:rPr>
          <w:sz w:val="22"/>
          <w:szCs w:val="21"/>
        </w:rPr>
      </w:pPr>
      <w:r>
        <w:rPr>
          <w:rFonts w:hint="eastAsia"/>
          <w:sz w:val="22"/>
          <w:szCs w:val="21"/>
        </w:rPr>
        <w:t>c</w:t>
      </w:r>
      <w:r>
        <w:rPr>
          <w:sz w:val="22"/>
          <w:szCs w:val="21"/>
        </w:rPr>
        <w:t>.提供虚假的业绩</w:t>
      </w:r>
      <w:r>
        <w:rPr>
          <w:rFonts w:hint="eastAsia"/>
          <w:sz w:val="22"/>
          <w:szCs w:val="21"/>
        </w:rPr>
        <w:t>；</w:t>
      </w:r>
    </w:p>
    <w:p>
      <w:pPr>
        <w:widowControl/>
        <w:snapToGrid w:val="0"/>
        <w:spacing w:line="360" w:lineRule="auto"/>
        <w:ind w:firstLine="440" w:firstLineChars="200"/>
        <w:jc w:val="left"/>
        <w:rPr>
          <w:sz w:val="22"/>
          <w:szCs w:val="21"/>
        </w:rPr>
      </w:pPr>
      <w:r>
        <w:rPr>
          <w:sz w:val="22"/>
          <w:szCs w:val="21"/>
        </w:rPr>
        <w:t>d.提供虚假的项目负责人或主要技术人员简历、劳动关系证明</w:t>
      </w:r>
      <w:r>
        <w:rPr>
          <w:rFonts w:hint="eastAsia"/>
          <w:sz w:val="22"/>
          <w:szCs w:val="21"/>
        </w:rPr>
        <w:t>；</w:t>
      </w:r>
    </w:p>
    <w:p>
      <w:pPr>
        <w:widowControl/>
        <w:snapToGrid w:val="0"/>
        <w:spacing w:line="360" w:lineRule="auto"/>
        <w:ind w:firstLine="440" w:firstLineChars="200"/>
        <w:jc w:val="left"/>
        <w:rPr>
          <w:sz w:val="22"/>
          <w:szCs w:val="21"/>
        </w:rPr>
      </w:pPr>
      <w:r>
        <w:rPr>
          <w:sz w:val="22"/>
          <w:szCs w:val="21"/>
        </w:rPr>
        <w:t>e.提供虚假的信用状况:f.其他弄虚作假的行为。</w:t>
      </w:r>
    </w:p>
    <w:p>
      <w:pPr>
        <w:widowControl/>
        <w:snapToGrid w:val="0"/>
        <w:spacing w:line="360" w:lineRule="auto"/>
        <w:jc w:val="left"/>
        <w:outlineLvl w:val="2"/>
        <w:rPr>
          <w:rFonts w:eastAsia="黑体"/>
          <w:kern w:val="0"/>
          <w:sz w:val="22"/>
          <w:szCs w:val="21"/>
        </w:rPr>
      </w:pPr>
      <w:r>
        <w:rPr>
          <w:rFonts w:eastAsia="黑体"/>
          <w:kern w:val="0"/>
          <w:sz w:val="22"/>
          <w:szCs w:val="21"/>
        </w:rPr>
        <w:t>3.7 投标文件的澄清和说明</w:t>
      </w:r>
    </w:p>
    <w:p>
      <w:pPr>
        <w:widowControl/>
        <w:snapToGrid w:val="0"/>
        <w:spacing w:line="360" w:lineRule="auto"/>
        <w:ind w:firstLine="440" w:firstLineChars="200"/>
        <w:jc w:val="left"/>
        <w:rPr>
          <w:sz w:val="22"/>
          <w:szCs w:val="21"/>
        </w:rPr>
      </w:pPr>
      <w:r>
        <w:rPr>
          <w:sz w:val="22"/>
          <w:szCs w:val="21"/>
        </w:rPr>
        <w:t>3.7.1在评标过程中，评标委员会可以书面形式要求投标人对投标文件中含义个明确的内容、明显文字或计算错误进行书面澄清或说明。评标委员会不接受投标人主动提出的澄清、说明。投标人不按评标委员会要求澄清或说明的，评标委员会应否决其投标。</w:t>
      </w:r>
    </w:p>
    <w:p>
      <w:pPr>
        <w:widowControl/>
        <w:snapToGrid w:val="0"/>
        <w:spacing w:line="360" w:lineRule="auto"/>
        <w:ind w:firstLine="440" w:firstLineChars="200"/>
        <w:jc w:val="left"/>
        <w:rPr>
          <w:sz w:val="22"/>
          <w:szCs w:val="21"/>
        </w:rPr>
      </w:pPr>
      <w:r>
        <w:rPr>
          <w:sz w:val="22"/>
          <w:szCs w:val="21"/>
        </w:rPr>
        <w:t>3.7.2 澄清和说明不得超出投标文件的范围或改变投标文件的实质性内容</w:t>
      </w:r>
      <w:r>
        <w:rPr>
          <w:rFonts w:hint="eastAsia"/>
          <w:sz w:val="22"/>
          <w:szCs w:val="21"/>
        </w:rPr>
        <w:t>（</w:t>
      </w:r>
      <w:r>
        <w:rPr>
          <w:sz w:val="22"/>
          <w:szCs w:val="21"/>
        </w:rPr>
        <w:t>算术性错误的修正除外</w:t>
      </w:r>
      <w:r>
        <w:rPr>
          <w:rFonts w:hint="eastAsia"/>
          <w:sz w:val="22"/>
          <w:szCs w:val="21"/>
        </w:rPr>
        <w:t>）</w:t>
      </w:r>
      <w:r>
        <w:rPr>
          <w:sz w:val="22"/>
          <w:szCs w:val="21"/>
        </w:rPr>
        <w:t>。投标人的书面澄清、说明属于投标文件的组成部分。</w:t>
      </w:r>
    </w:p>
    <w:p>
      <w:pPr>
        <w:widowControl/>
        <w:snapToGrid w:val="0"/>
        <w:spacing w:line="360" w:lineRule="auto"/>
        <w:ind w:firstLine="440" w:firstLineChars="200"/>
        <w:jc w:val="left"/>
        <w:rPr>
          <w:sz w:val="22"/>
          <w:szCs w:val="21"/>
        </w:rPr>
      </w:pPr>
      <w:r>
        <w:rPr>
          <w:sz w:val="22"/>
          <w:szCs w:val="21"/>
        </w:rPr>
        <w:t>3.7.3 评标委员会不得暗示或诱导投标人作出澄清、说明，对投标人提交的澄清、说明有疑问的，可以要求投标人进一步澄清或说明，直至满足评标委员会的要求。</w:t>
      </w:r>
    </w:p>
    <w:p>
      <w:pPr>
        <w:widowControl/>
        <w:snapToGrid w:val="0"/>
        <w:spacing w:line="360" w:lineRule="auto"/>
        <w:ind w:firstLine="440" w:firstLineChars="200"/>
        <w:jc w:val="left"/>
        <w:rPr>
          <w:sz w:val="22"/>
          <w:szCs w:val="21"/>
        </w:rPr>
      </w:pPr>
      <w:r>
        <w:rPr>
          <w:sz w:val="22"/>
          <w:szCs w:val="21"/>
        </w:rPr>
        <w:t>3.7.4凡超出招标文件规定的或给发包人带来未曾要求的利益的变化、偏差或其他因素在评标时不予考虑。</w:t>
      </w:r>
    </w:p>
    <w:p>
      <w:pPr>
        <w:widowControl/>
        <w:snapToGrid w:val="0"/>
        <w:spacing w:line="360" w:lineRule="auto"/>
        <w:jc w:val="left"/>
        <w:outlineLvl w:val="2"/>
        <w:rPr>
          <w:rFonts w:eastAsia="黑体"/>
          <w:kern w:val="0"/>
          <w:sz w:val="22"/>
          <w:szCs w:val="21"/>
        </w:rPr>
      </w:pPr>
      <w:r>
        <w:rPr>
          <w:rFonts w:eastAsia="黑体"/>
          <w:kern w:val="0"/>
          <w:sz w:val="22"/>
          <w:szCs w:val="21"/>
        </w:rPr>
        <w:t>3.8不得否决投标的情形</w:t>
      </w:r>
    </w:p>
    <w:p>
      <w:pPr>
        <w:widowControl/>
        <w:snapToGrid w:val="0"/>
        <w:spacing w:line="360" w:lineRule="auto"/>
        <w:ind w:firstLine="440" w:firstLineChars="200"/>
        <w:jc w:val="left"/>
        <w:rPr>
          <w:sz w:val="22"/>
          <w:szCs w:val="21"/>
        </w:rPr>
      </w:pPr>
      <w:r>
        <w:rPr>
          <w:sz w:val="22"/>
          <w:szCs w:val="21"/>
        </w:rPr>
        <w:t>投标文件存在第.二章</w:t>
      </w:r>
      <w:r>
        <w:rPr>
          <w:rFonts w:hint="eastAsia" w:ascii="宋体" w:hAnsi="宋体" w:cs="宋体"/>
          <w:sz w:val="22"/>
          <w:szCs w:val="21"/>
        </w:rPr>
        <w:t>“投标人须知”第</w:t>
      </w:r>
      <w:r>
        <w:rPr>
          <w:sz w:val="22"/>
          <w:szCs w:val="21"/>
        </w:rPr>
        <w:t>1.12.3项所列情形的</w:t>
      </w:r>
      <w:r>
        <w:rPr>
          <w:rFonts w:hint="eastAsia"/>
          <w:sz w:val="22"/>
          <w:szCs w:val="21"/>
        </w:rPr>
        <w:t>，</w:t>
      </w:r>
      <w:r>
        <w:rPr>
          <w:sz w:val="22"/>
          <w:szCs w:val="21"/>
        </w:rPr>
        <w:t>均视为细微偏差</w:t>
      </w:r>
      <w:r>
        <w:rPr>
          <w:rFonts w:hint="eastAsia"/>
          <w:sz w:val="22"/>
          <w:szCs w:val="21"/>
        </w:rPr>
        <w:t>，</w:t>
      </w:r>
      <w:r>
        <w:rPr>
          <w:sz w:val="22"/>
          <w:szCs w:val="21"/>
        </w:rPr>
        <w:t>评标委员会不得否决投标人的投标，应按照第二章</w:t>
      </w:r>
      <w:r>
        <w:rPr>
          <w:rFonts w:hint="eastAsia" w:ascii="宋体" w:hAnsi="宋体" w:cs="宋体"/>
          <w:sz w:val="22"/>
          <w:szCs w:val="21"/>
        </w:rPr>
        <w:t>“投标人须知”</w:t>
      </w:r>
      <w:r>
        <w:rPr>
          <w:sz w:val="22"/>
          <w:szCs w:val="21"/>
        </w:rPr>
        <w:t>第1.12.4项规定的原则处理。</w:t>
      </w:r>
    </w:p>
    <w:p>
      <w:pPr>
        <w:widowControl/>
        <w:snapToGrid w:val="0"/>
        <w:spacing w:line="360" w:lineRule="auto"/>
        <w:ind w:left="440" w:hanging="440" w:hangingChars="200"/>
        <w:jc w:val="left"/>
        <w:outlineLvl w:val="2"/>
        <w:rPr>
          <w:rFonts w:eastAsia="黑体"/>
          <w:kern w:val="0"/>
          <w:sz w:val="22"/>
          <w:szCs w:val="21"/>
        </w:rPr>
      </w:pPr>
      <w:r>
        <w:rPr>
          <w:rFonts w:eastAsia="黑体"/>
          <w:kern w:val="0"/>
          <w:sz w:val="22"/>
          <w:szCs w:val="21"/>
        </w:rPr>
        <w:t>3.9评标结果</w:t>
      </w:r>
    </w:p>
    <w:p>
      <w:pPr>
        <w:widowControl/>
        <w:snapToGrid w:val="0"/>
        <w:spacing w:line="360" w:lineRule="auto"/>
        <w:ind w:firstLine="440" w:firstLineChars="200"/>
        <w:jc w:val="left"/>
        <w:rPr>
          <w:sz w:val="22"/>
          <w:szCs w:val="21"/>
        </w:rPr>
      </w:pPr>
      <w:r>
        <w:rPr>
          <w:sz w:val="22"/>
          <w:szCs w:val="21"/>
        </w:rPr>
        <w:t>3.9.1除第二章“</w:t>
      </w:r>
      <w:r>
        <w:rPr>
          <w:rFonts w:hint="eastAsia" w:ascii="宋体" w:hAnsi="宋体" w:cs="宋体"/>
          <w:sz w:val="22"/>
          <w:szCs w:val="21"/>
        </w:rPr>
        <w:t>投标人须知”前附表授权直接确定中标人外，评标委员会按照得分由高到低的顺序推荐中标候选人，并标明排序</w:t>
      </w:r>
      <w:r>
        <w:rPr>
          <w:sz w:val="22"/>
          <w:szCs w:val="21"/>
        </w:rPr>
        <w:t>。</w:t>
      </w:r>
    </w:p>
    <w:p>
      <w:pPr>
        <w:widowControl/>
        <w:snapToGrid w:val="0"/>
        <w:spacing w:line="360" w:lineRule="auto"/>
        <w:ind w:firstLine="440" w:firstLineChars="200"/>
        <w:jc w:val="left"/>
        <w:rPr>
          <w:sz w:val="22"/>
          <w:szCs w:val="21"/>
        </w:rPr>
      </w:pPr>
      <w:r>
        <w:rPr>
          <w:sz w:val="22"/>
          <w:szCs w:val="21"/>
        </w:rPr>
        <w:t>3.9.2评标委员会完成评标后，应向招标人提交书面评标报告。</w:t>
      </w:r>
    </w:p>
    <w:p>
      <w:pPr>
        <w:pStyle w:val="60"/>
        <w:snapToGrid w:val="0"/>
        <w:ind w:firstLine="0" w:firstLineChars="0"/>
        <w:jc w:val="center"/>
        <w:outlineLvl w:val="0"/>
        <w:rPr>
          <w:rFonts w:ascii="黑体" w:hAnsi="黑体" w:eastAsia="黑体" w:cs="黑体"/>
          <w:sz w:val="36"/>
          <w:szCs w:val="36"/>
        </w:rPr>
      </w:pPr>
    </w:p>
    <w:p>
      <w:pPr>
        <w:pStyle w:val="60"/>
        <w:snapToGrid w:val="0"/>
        <w:ind w:firstLine="0" w:firstLineChars="0"/>
        <w:jc w:val="center"/>
        <w:outlineLvl w:val="0"/>
        <w:rPr>
          <w:rFonts w:ascii="黑体" w:hAnsi="黑体" w:eastAsia="黑体" w:cs="黑体"/>
          <w:sz w:val="36"/>
          <w:szCs w:val="36"/>
        </w:rPr>
      </w:pPr>
    </w:p>
    <w:p>
      <w:pPr>
        <w:pStyle w:val="60"/>
        <w:snapToGrid w:val="0"/>
        <w:ind w:firstLine="0" w:firstLineChars="0"/>
        <w:jc w:val="center"/>
        <w:outlineLvl w:val="0"/>
        <w:rPr>
          <w:rFonts w:ascii="黑体" w:hAnsi="黑体" w:eastAsia="黑体" w:cs="黑体"/>
          <w:sz w:val="36"/>
          <w:szCs w:val="36"/>
        </w:rPr>
      </w:pPr>
    </w:p>
    <w:p>
      <w:pPr>
        <w:pStyle w:val="60"/>
        <w:snapToGrid w:val="0"/>
        <w:ind w:firstLine="0" w:firstLineChars="0"/>
        <w:jc w:val="center"/>
        <w:outlineLvl w:val="0"/>
        <w:rPr>
          <w:rFonts w:ascii="黑体" w:hAnsi="黑体" w:eastAsia="黑体" w:cs="黑体"/>
          <w:sz w:val="36"/>
          <w:szCs w:val="36"/>
        </w:rPr>
      </w:pPr>
    </w:p>
    <w:p>
      <w:pPr>
        <w:pStyle w:val="60"/>
        <w:snapToGrid w:val="0"/>
        <w:ind w:firstLine="0" w:firstLineChars="0"/>
        <w:jc w:val="center"/>
        <w:outlineLvl w:val="0"/>
        <w:rPr>
          <w:rFonts w:ascii="黑体" w:hAnsi="黑体" w:eastAsia="黑体" w:cs="黑体"/>
          <w:sz w:val="36"/>
          <w:szCs w:val="36"/>
        </w:rPr>
      </w:pPr>
    </w:p>
    <w:p>
      <w:pPr>
        <w:pStyle w:val="60"/>
        <w:snapToGrid w:val="0"/>
        <w:ind w:firstLine="0" w:firstLineChars="0"/>
        <w:jc w:val="center"/>
        <w:outlineLvl w:val="0"/>
        <w:rPr>
          <w:rFonts w:ascii="黑体" w:hAnsi="黑体" w:eastAsia="黑体" w:cs="黑体"/>
          <w:sz w:val="36"/>
          <w:szCs w:val="36"/>
        </w:rPr>
      </w:pPr>
    </w:p>
    <w:p>
      <w:pPr>
        <w:pStyle w:val="60"/>
        <w:snapToGrid w:val="0"/>
        <w:ind w:firstLine="0" w:firstLineChars="0"/>
        <w:jc w:val="center"/>
        <w:outlineLvl w:val="0"/>
        <w:rPr>
          <w:rFonts w:ascii="黑体" w:hAnsi="黑体" w:eastAsia="黑体" w:cs="黑体"/>
          <w:sz w:val="36"/>
          <w:szCs w:val="36"/>
        </w:rPr>
      </w:pPr>
    </w:p>
    <w:p>
      <w:pPr>
        <w:pStyle w:val="60"/>
        <w:snapToGrid w:val="0"/>
        <w:ind w:firstLine="0" w:firstLineChars="0"/>
        <w:jc w:val="center"/>
        <w:outlineLvl w:val="0"/>
        <w:rPr>
          <w:rFonts w:ascii="黑体" w:hAnsi="黑体" w:eastAsia="黑体" w:cs="黑体"/>
          <w:sz w:val="36"/>
          <w:szCs w:val="36"/>
        </w:rPr>
      </w:pPr>
    </w:p>
    <w:p>
      <w:pPr>
        <w:pStyle w:val="60"/>
        <w:snapToGrid w:val="0"/>
        <w:ind w:firstLine="0" w:firstLineChars="0"/>
        <w:jc w:val="center"/>
        <w:outlineLvl w:val="0"/>
        <w:rPr>
          <w:rFonts w:ascii="黑体" w:hAnsi="黑体" w:eastAsia="黑体" w:cs="黑体"/>
          <w:sz w:val="36"/>
          <w:szCs w:val="36"/>
        </w:rPr>
      </w:pPr>
    </w:p>
    <w:p>
      <w:pPr>
        <w:pStyle w:val="60"/>
        <w:snapToGrid w:val="0"/>
        <w:ind w:firstLine="0" w:firstLineChars="0"/>
        <w:jc w:val="center"/>
        <w:outlineLvl w:val="0"/>
        <w:rPr>
          <w:rFonts w:ascii="黑体" w:hAnsi="黑体" w:eastAsia="黑体" w:cs="黑体"/>
          <w:sz w:val="36"/>
          <w:szCs w:val="36"/>
        </w:rPr>
      </w:pPr>
    </w:p>
    <w:p>
      <w:pPr>
        <w:pStyle w:val="60"/>
        <w:snapToGrid w:val="0"/>
        <w:ind w:firstLine="0" w:firstLineChars="0"/>
        <w:jc w:val="center"/>
        <w:outlineLvl w:val="0"/>
        <w:rPr>
          <w:rFonts w:ascii="黑体" w:hAnsi="黑体" w:eastAsia="黑体" w:cs="黑体"/>
          <w:sz w:val="36"/>
          <w:szCs w:val="36"/>
        </w:rPr>
      </w:pPr>
    </w:p>
    <w:p>
      <w:pPr>
        <w:pStyle w:val="60"/>
        <w:snapToGrid w:val="0"/>
        <w:ind w:firstLine="0" w:firstLineChars="0"/>
        <w:jc w:val="center"/>
        <w:outlineLvl w:val="0"/>
        <w:rPr>
          <w:rFonts w:ascii="黑体" w:hAnsi="黑体" w:eastAsia="黑体" w:cs="黑体"/>
          <w:sz w:val="36"/>
          <w:szCs w:val="36"/>
        </w:rPr>
      </w:pPr>
    </w:p>
    <w:p>
      <w:pPr>
        <w:pStyle w:val="60"/>
        <w:snapToGrid w:val="0"/>
        <w:ind w:firstLine="0" w:firstLineChars="0"/>
        <w:jc w:val="center"/>
        <w:outlineLvl w:val="0"/>
        <w:rPr>
          <w:rFonts w:ascii="黑体" w:hAnsi="黑体" w:eastAsia="黑体" w:cs="黑体"/>
          <w:sz w:val="36"/>
          <w:szCs w:val="36"/>
        </w:rPr>
      </w:pPr>
    </w:p>
    <w:p>
      <w:pPr>
        <w:pStyle w:val="60"/>
        <w:snapToGrid w:val="0"/>
        <w:ind w:firstLine="0" w:firstLineChars="0"/>
        <w:jc w:val="center"/>
        <w:outlineLvl w:val="0"/>
        <w:rPr>
          <w:rFonts w:ascii="黑体" w:hAnsi="黑体" w:eastAsia="黑体" w:cs="黑体"/>
          <w:sz w:val="36"/>
          <w:szCs w:val="36"/>
        </w:rPr>
      </w:pPr>
    </w:p>
    <w:p>
      <w:pPr>
        <w:pStyle w:val="60"/>
        <w:snapToGrid w:val="0"/>
        <w:ind w:firstLine="0" w:firstLineChars="0"/>
        <w:jc w:val="center"/>
        <w:outlineLvl w:val="0"/>
        <w:rPr>
          <w:rFonts w:ascii="黑体" w:hAnsi="黑体" w:eastAsia="黑体" w:cs="黑体"/>
          <w:sz w:val="36"/>
          <w:szCs w:val="36"/>
        </w:rPr>
      </w:pPr>
    </w:p>
    <w:p>
      <w:pPr>
        <w:pStyle w:val="60"/>
        <w:snapToGrid w:val="0"/>
        <w:ind w:firstLine="0" w:firstLineChars="0"/>
        <w:jc w:val="center"/>
        <w:outlineLvl w:val="0"/>
        <w:rPr>
          <w:rFonts w:ascii="黑体" w:hAnsi="黑体" w:eastAsia="黑体" w:cs="黑体"/>
          <w:sz w:val="36"/>
          <w:szCs w:val="36"/>
        </w:rPr>
      </w:pPr>
    </w:p>
    <w:p>
      <w:pPr>
        <w:pStyle w:val="60"/>
        <w:snapToGrid w:val="0"/>
        <w:ind w:firstLine="0" w:firstLineChars="0"/>
        <w:jc w:val="center"/>
        <w:outlineLvl w:val="0"/>
        <w:rPr>
          <w:rFonts w:ascii="黑体" w:hAnsi="黑体" w:eastAsia="黑体" w:cs="黑体"/>
          <w:sz w:val="36"/>
          <w:szCs w:val="36"/>
        </w:rPr>
      </w:pPr>
    </w:p>
    <w:p>
      <w:pPr>
        <w:pStyle w:val="60"/>
        <w:snapToGrid w:val="0"/>
        <w:ind w:firstLine="0" w:firstLineChars="0"/>
        <w:jc w:val="center"/>
        <w:outlineLvl w:val="0"/>
        <w:rPr>
          <w:rFonts w:ascii="黑体" w:hAnsi="黑体" w:eastAsia="黑体" w:cs="黑体"/>
          <w:sz w:val="36"/>
          <w:szCs w:val="36"/>
        </w:rPr>
      </w:pPr>
    </w:p>
    <w:p>
      <w:pPr>
        <w:pStyle w:val="60"/>
        <w:snapToGrid w:val="0"/>
        <w:ind w:firstLine="0" w:firstLineChars="0"/>
        <w:jc w:val="center"/>
        <w:outlineLvl w:val="0"/>
        <w:rPr>
          <w:rFonts w:ascii="黑体" w:hAnsi="黑体" w:eastAsia="黑体" w:cs="黑体"/>
          <w:sz w:val="36"/>
          <w:szCs w:val="36"/>
        </w:rPr>
      </w:pPr>
    </w:p>
    <w:p>
      <w:pPr>
        <w:pStyle w:val="60"/>
        <w:snapToGrid w:val="0"/>
        <w:ind w:firstLine="0" w:firstLineChars="0"/>
        <w:jc w:val="center"/>
        <w:outlineLvl w:val="0"/>
        <w:rPr>
          <w:rFonts w:ascii="黑体" w:hAnsi="黑体" w:eastAsia="黑体" w:cs="黑体"/>
          <w:sz w:val="36"/>
          <w:szCs w:val="36"/>
        </w:rPr>
      </w:pPr>
      <w:r>
        <w:rPr>
          <w:rFonts w:hint="eastAsia" w:ascii="黑体" w:hAnsi="黑体" w:eastAsia="黑体" w:cs="黑体"/>
          <w:sz w:val="36"/>
          <w:szCs w:val="36"/>
        </w:rPr>
        <w:t>第三章 评标办法(综合评估法)</w:t>
      </w:r>
      <w:bookmarkEnd w:id="0"/>
      <w:bookmarkEnd w:id="1"/>
    </w:p>
    <w:p>
      <w:pPr>
        <w:pStyle w:val="60"/>
        <w:snapToGrid w:val="0"/>
        <w:ind w:firstLine="0" w:firstLineChars="0"/>
        <w:jc w:val="center"/>
        <w:outlineLvl w:val="0"/>
        <w:rPr>
          <w:rFonts w:ascii="黑体" w:hAnsi="黑体" w:eastAsia="黑体" w:cs="黑体"/>
          <w:sz w:val="36"/>
          <w:szCs w:val="36"/>
        </w:rPr>
      </w:pPr>
      <w:r>
        <w:rPr>
          <w:rFonts w:hint="eastAsia" w:ascii="黑体" w:hAnsi="黑体" w:eastAsia="黑体" w:cs="黑体"/>
          <w:sz w:val="36"/>
          <w:szCs w:val="36"/>
        </w:rPr>
        <w:t>（适用02标）</w:t>
      </w:r>
    </w:p>
    <w:p>
      <w:pPr>
        <w:pStyle w:val="5"/>
        <w:snapToGrid w:val="0"/>
        <w:spacing w:beforeLines="50" w:after="0" w:line="240" w:lineRule="auto"/>
        <w:rPr>
          <w:b w:val="0"/>
          <w:bCs w:val="0"/>
          <w:sz w:val="28"/>
          <w:szCs w:val="28"/>
        </w:rPr>
        <w:sectPr>
          <w:footnotePr>
            <w:numFmt w:val="decimalEnclosedCircleChinese"/>
            <w:numRestart w:val="eachPage"/>
          </w:footnotePr>
          <w:type w:val="continuous"/>
          <w:pgSz w:w="11910" w:h="16840"/>
          <w:pgMar w:top="1134" w:right="1134" w:bottom="1134" w:left="1134" w:header="720" w:footer="720" w:gutter="0"/>
          <w:pgBorders>
            <w:top w:val="none" w:sz="0" w:space="0"/>
            <w:left w:val="none" w:sz="0" w:space="0"/>
            <w:bottom w:val="none" w:sz="0" w:space="0"/>
            <w:right w:val="none" w:sz="0" w:space="0"/>
          </w:pgBorders>
          <w:cols w:space="720" w:num="1"/>
        </w:sectPr>
      </w:pPr>
      <w:bookmarkStart w:id="2" w:name="_Toc492910466"/>
      <w:bookmarkStart w:id="3" w:name="_Toc10442"/>
      <w:r>
        <w:rPr>
          <w:rFonts w:hint="eastAsia"/>
          <w:b w:val="0"/>
          <w:bCs w:val="0"/>
          <w:sz w:val="28"/>
          <w:szCs w:val="28"/>
        </w:rPr>
        <w:t>评标办法前附表</w:t>
      </w:r>
      <w:bookmarkEnd w:id="2"/>
      <w:bookmarkEnd w:id="3"/>
    </w:p>
    <w:tbl>
      <w:tblPr>
        <w:tblStyle w:val="37"/>
        <w:tblW w:w="9071"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941"/>
        <w:gridCol w:w="1182"/>
        <w:gridCol w:w="6948"/>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blHeader/>
          <w:jc w:val="center"/>
        </w:trPr>
        <w:tc>
          <w:tcPr>
            <w:tcW w:w="2123" w:type="dxa"/>
            <w:gridSpan w:val="2"/>
            <w:tcBorders>
              <w:tl2br w:val="nil"/>
              <w:tr2bl w:val="nil"/>
            </w:tcBorders>
          </w:tcPr>
          <w:p>
            <w:pPr>
              <w:spacing w:line="400" w:lineRule="atLeast"/>
              <w:jc w:val="center"/>
              <w:rPr>
                <w:rFonts w:ascii="宋体"/>
                <w:sz w:val="22"/>
                <w:szCs w:val="22"/>
              </w:rPr>
            </w:pPr>
            <w:r>
              <w:rPr>
                <w:rFonts w:hint="eastAsia" w:ascii="宋体" w:hAnsi="宋体"/>
                <w:sz w:val="22"/>
                <w:szCs w:val="22"/>
              </w:rPr>
              <w:t>条款号</w:t>
            </w:r>
          </w:p>
        </w:tc>
        <w:tc>
          <w:tcPr>
            <w:tcW w:w="6948" w:type="dxa"/>
            <w:tcBorders>
              <w:tl2br w:val="nil"/>
              <w:tr2bl w:val="nil"/>
            </w:tcBorders>
          </w:tcPr>
          <w:p>
            <w:pPr>
              <w:spacing w:line="400" w:lineRule="atLeast"/>
              <w:jc w:val="center"/>
              <w:rPr>
                <w:rFonts w:ascii="宋体"/>
                <w:sz w:val="22"/>
                <w:szCs w:val="22"/>
              </w:rPr>
            </w:pPr>
            <w:r>
              <w:rPr>
                <w:rFonts w:hint="eastAsia" w:ascii="宋体" w:hAnsi="宋体"/>
                <w:sz w:val="22"/>
                <w:szCs w:val="22"/>
              </w:rPr>
              <w:t>评审因素与评审标准</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941" w:type="dxa"/>
            <w:tcBorders>
              <w:tl2br w:val="nil"/>
              <w:tr2bl w:val="nil"/>
            </w:tcBorders>
            <w:vAlign w:val="center"/>
          </w:tcPr>
          <w:p>
            <w:pPr>
              <w:spacing w:line="440" w:lineRule="exact"/>
              <w:jc w:val="center"/>
              <w:rPr>
                <w:sz w:val="22"/>
                <w:szCs w:val="22"/>
              </w:rPr>
            </w:pPr>
            <w:r>
              <w:rPr>
                <w:rFonts w:hint="eastAsia"/>
                <w:sz w:val="22"/>
                <w:szCs w:val="22"/>
              </w:rPr>
              <w:t>1</w:t>
            </w:r>
          </w:p>
        </w:tc>
        <w:tc>
          <w:tcPr>
            <w:tcW w:w="1182" w:type="dxa"/>
            <w:tcBorders>
              <w:tl2br w:val="nil"/>
              <w:tr2bl w:val="nil"/>
            </w:tcBorders>
            <w:vAlign w:val="center"/>
          </w:tcPr>
          <w:p>
            <w:pPr>
              <w:jc w:val="center"/>
              <w:rPr>
                <w:sz w:val="22"/>
                <w:szCs w:val="22"/>
              </w:rPr>
            </w:pPr>
            <w:r>
              <w:rPr>
                <w:rFonts w:hint="eastAsia"/>
                <w:sz w:val="22"/>
                <w:szCs w:val="22"/>
              </w:rPr>
              <w:t>评标方法</w:t>
            </w:r>
          </w:p>
        </w:tc>
        <w:tc>
          <w:tcPr>
            <w:tcW w:w="6948" w:type="dxa"/>
            <w:tcBorders>
              <w:tl2br w:val="nil"/>
              <w:tr2bl w:val="nil"/>
            </w:tcBorders>
            <w:vAlign w:val="center"/>
          </w:tcPr>
          <w:p>
            <w:pPr>
              <w:snapToGrid w:val="0"/>
              <w:spacing w:line="288" w:lineRule="auto"/>
              <w:ind w:firstLine="440" w:firstLineChars="200"/>
              <w:rPr>
                <w:sz w:val="22"/>
                <w:szCs w:val="22"/>
              </w:rPr>
            </w:pPr>
            <w:r>
              <w:rPr>
                <w:sz w:val="22"/>
                <w:szCs w:val="22"/>
              </w:rPr>
              <w:t>评标委员会按</w:t>
            </w:r>
            <w:r>
              <w:rPr>
                <w:rFonts w:hint="eastAsia"/>
                <w:sz w:val="22"/>
                <w:szCs w:val="22"/>
              </w:rPr>
              <w:t>综合评分</w:t>
            </w:r>
            <w:r>
              <w:rPr>
                <w:sz w:val="22"/>
                <w:szCs w:val="22"/>
              </w:rPr>
              <w:t>由高到低顺序推荐中标候选人</w:t>
            </w:r>
            <w:r>
              <w:rPr>
                <w:rFonts w:hint="eastAsia"/>
                <w:sz w:val="22"/>
                <w:szCs w:val="22"/>
              </w:rPr>
              <w:t>，综合评分</w:t>
            </w:r>
            <w:r>
              <w:rPr>
                <w:sz w:val="22"/>
                <w:szCs w:val="22"/>
              </w:rPr>
              <w:t>相等时，</w:t>
            </w:r>
            <w:r>
              <w:rPr>
                <w:rFonts w:hint="eastAsia"/>
                <w:sz w:val="22"/>
                <w:szCs w:val="22"/>
              </w:rPr>
              <w:t>评标委员会依次按照以下优先顺序推荐中标候选人：</w:t>
            </w:r>
          </w:p>
          <w:p>
            <w:pPr>
              <w:snapToGrid w:val="0"/>
              <w:spacing w:line="288" w:lineRule="auto"/>
              <w:rPr>
                <w:sz w:val="22"/>
                <w:szCs w:val="22"/>
              </w:rPr>
            </w:pPr>
            <w:r>
              <w:rPr>
                <w:rFonts w:hint="eastAsia"/>
                <w:sz w:val="22"/>
                <w:szCs w:val="22"/>
              </w:rPr>
              <w:t>（1）评标价低的</w:t>
            </w:r>
            <w:r>
              <w:rPr>
                <w:sz w:val="22"/>
                <w:szCs w:val="22"/>
              </w:rPr>
              <w:t>投标人</w:t>
            </w:r>
            <w:r>
              <w:rPr>
                <w:rFonts w:hint="eastAsia"/>
                <w:sz w:val="22"/>
                <w:szCs w:val="22"/>
              </w:rPr>
              <w:t>优先；</w:t>
            </w:r>
          </w:p>
          <w:p>
            <w:pPr>
              <w:snapToGrid w:val="0"/>
              <w:spacing w:line="288" w:lineRule="auto"/>
              <w:rPr>
                <w:sz w:val="22"/>
                <w:szCs w:val="22"/>
              </w:rPr>
            </w:pPr>
            <w:r>
              <w:rPr>
                <w:rFonts w:hint="eastAsia"/>
                <w:sz w:val="22"/>
                <w:szCs w:val="22"/>
              </w:rPr>
              <w:t>（2）</w:t>
            </w:r>
            <w:r>
              <w:rPr>
                <w:sz w:val="22"/>
                <w:szCs w:val="22"/>
              </w:rPr>
              <w:t>被安徽省交通运输厅评为较高信用等级</w:t>
            </w:r>
            <w:r>
              <w:rPr>
                <w:rFonts w:hint="eastAsia"/>
                <w:sz w:val="22"/>
                <w:szCs w:val="22"/>
              </w:rPr>
              <w:t>（最新年度）</w:t>
            </w:r>
            <w:r>
              <w:rPr>
                <w:sz w:val="22"/>
                <w:szCs w:val="22"/>
              </w:rPr>
              <w:t>的投标人优先；</w:t>
            </w:r>
          </w:p>
          <w:p>
            <w:pPr>
              <w:snapToGrid w:val="0"/>
              <w:spacing w:line="288" w:lineRule="auto"/>
              <w:rPr>
                <w:sz w:val="22"/>
                <w:szCs w:val="22"/>
              </w:rPr>
            </w:pPr>
            <w:r>
              <w:rPr>
                <w:rFonts w:hint="eastAsia"/>
                <w:sz w:val="22"/>
                <w:szCs w:val="22"/>
              </w:rPr>
              <w:t>（3）</w:t>
            </w:r>
            <w:r>
              <w:rPr>
                <w:sz w:val="22"/>
                <w:szCs w:val="22"/>
              </w:rPr>
              <w:t>投标文件提供的业绩数量多</w:t>
            </w:r>
            <w:r>
              <w:rPr>
                <w:rFonts w:hint="eastAsia"/>
                <w:sz w:val="22"/>
                <w:szCs w:val="22"/>
              </w:rPr>
              <w:t>的</w:t>
            </w:r>
            <w:r>
              <w:rPr>
                <w:sz w:val="22"/>
                <w:szCs w:val="22"/>
              </w:rPr>
              <w:t>投标人优先</w:t>
            </w:r>
            <w:r>
              <w:rPr>
                <w:rFonts w:hint="eastAsia"/>
                <w:sz w:val="22"/>
                <w:szCs w:val="22"/>
              </w:rPr>
              <w:t>；</w:t>
            </w:r>
          </w:p>
          <w:p>
            <w:pPr>
              <w:snapToGrid w:val="0"/>
              <w:spacing w:line="288" w:lineRule="auto"/>
              <w:rPr>
                <w:sz w:val="22"/>
                <w:szCs w:val="22"/>
              </w:rPr>
            </w:pPr>
            <w:r>
              <w:rPr>
                <w:rFonts w:hint="eastAsia"/>
                <w:sz w:val="22"/>
                <w:szCs w:val="22"/>
              </w:rPr>
              <w:t>（4）</w:t>
            </w:r>
            <w:r>
              <w:rPr>
                <w:sz w:val="22"/>
                <w:szCs w:val="22"/>
              </w:rPr>
              <w:t>投标文件提供的</w:t>
            </w:r>
            <w:r>
              <w:rPr>
                <w:rFonts w:hint="eastAsia"/>
                <w:sz w:val="22"/>
                <w:szCs w:val="22"/>
              </w:rPr>
              <w:t>业绩累计合同金额</w:t>
            </w:r>
            <w:r>
              <w:rPr>
                <w:sz w:val="22"/>
                <w:szCs w:val="22"/>
              </w:rPr>
              <w:t>额大的投标人优先</w:t>
            </w:r>
            <w:r>
              <w:rPr>
                <w:rFonts w:hint="eastAsia"/>
                <w:sz w:val="22"/>
                <w:szCs w:val="22"/>
              </w:rPr>
              <w:t>。</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jc w:val="center"/>
        </w:trPr>
        <w:tc>
          <w:tcPr>
            <w:tcW w:w="941" w:type="dxa"/>
            <w:tcBorders>
              <w:tl2br w:val="nil"/>
              <w:tr2bl w:val="nil"/>
            </w:tcBorders>
            <w:vAlign w:val="center"/>
          </w:tcPr>
          <w:p>
            <w:pPr>
              <w:spacing w:line="400" w:lineRule="atLeast"/>
              <w:jc w:val="center"/>
              <w:rPr>
                <w:sz w:val="22"/>
                <w:szCs w:val="22"/>
              </w:rPr>
            </w:pPr>
            <w:r>
              <w:rPr>
                <w:sz w:val="22"/>
                <w:szCs w:val="22"/>
              </w:rPr>
              <w:t>2.1.1</w:t>
            </w:r>
          </w:p>
          <w:p>
            <w:pPr>
              <w:spacing w:line="400" w:lineRule="atLeast"/>
              <w:jc w:val="center"/>
              <w:rPr>
                <w:rFonts w:ascii="宋体" w:hAnsi="宋体"/>
                <w:sz w:val="22"/>
                <w:szCs w:val="22"/>
              </w:rPr>
            </w:pPr>
            <w:r>
              <w:rPr>
                <w:sz w:val="22"/>
                <w:szCs w:val="22"/>
              </w:rPr>
              <w:t>2.1.3</w:t>
            </w:r>
          </w:p>
        </w:tc>
        <w:tc>
          <w:tcPr>
            <w:tcW w:w="1182" w:type="dxa"/>
            <w:tcBorders>
              <w:tl2br w:val="nil"/>
              <w:tr2bl w:val="nil"/>
            </w:tcBorders>
            <w:vAlign w:val="center"/>
          </w:tcPr>
          <w:p>
            <w:pPr>
              <w:spacing w:line="400" w:lineRule="atLeast"/>
              <w:jc w:val="center"/>
              <w:rPr>
                <w:rFonts w:ascii="宋体" w:hAnsi="宋体"/>
                <w:sz w:val="22"/>
                <w:szCs w:val="22"/>
              </w:rPr>
            </w:pPr>
            <w:r>
              <w:rPr>
                <w:rFonts w:hint="eastAsia" w:ascii="宋体" w:hAnsi="宋体"/>
                <w:sz w:val="22"/>
                <w:szCs w:val="22"/>
              </w:rPr>
              <w:t>形式评审与响应性评审标准</w:t>
            </w:r>
          </w:p>
        </w:tc>
        <w:tc>
          <w:tcPr>
            <w:tcW w:w="6948" w:type="dxa"/>
            <w:tcBorders>
              <w:tl2br w:val="nil"/>
              <w:tr2bl w:val="nil"/>
            </w:tcBorders>
          </w:tcPr>
          <w:p>
            <w:pPr>
              <w:snapToGrid w:val="0"/>
              <w:spacing w:line="288" w:lineRule="auto"/>
              <w:rPr>
                <w:rFonts w:ascii="黑体" w:hAnsi="黑体" w:eastAsia="黑体"/>
                <w:sz w:val="22"/>
                <w:szCs w:val="22"/>
              </w:rPr>
            </w:pPr>
            <w:r>
              <w:rPr>
                <w:rFonts w:hint="eastAsia" w:ascii="黑体" w:hAnsi="黑体" w:eastAsia="黑体"/>
                <w:sz w:val="22"/>
                <w:szCs w:val="22"/>
              </w:rPr>
              <w:t>商务及技术文件</w:t>
            </w:r>
            <w:r>
              <w:rPr>
                <w:rFonts w:ascii="黑体" w:hAnsi="黑体" w:eastAsia="黑体"/>
                <w:sz w:val="22"/>
                <w:szCs w:val="22"/>
              </w:rPr>
              <w:t>评审标准</w:t>
            </w:r>
            <w:r>
              <w:rPr>
                <w:rFonts w:hint="eastAsia" w:ascii="黑体" w:hAnsi="黑体" w:eastAsia="黑体"/>
                <w:sz w:val="22"/>
                <w:szCs w:val="22"/>
              </w:rPr>
              <w:t>：</w:t>
            </w:r>
          </w:p>
          <w:p>
            <w:pPr>
              <w:adjustRightInd w:val="0"/>
              <w:snapToGrid w:val="0"/>
              <w:spacing w:line="288" w:lineRule="auto"/>
              <w:rPr>
                <w:sz w:val="22"/>
                <w:szCs w:val="22"/>
              </w:rPr>
            </w:pPr>
            <w:r>
              <w:rPr>
                <w:rFonts w:hint="eastAsia"/>
                <w:sz w:val="22"/>
                <w:szCs w:val="22"/>
              </w:rPr>
              <w:t>（1）投标文件按照招标文件规定的格式、内容填写，字迹清晰可辨：</w:t>
            </w:r>
          </w:p>
          <w:p>
            <w:pPr>
              <w:adjustRightInd w:val="0"/>
              <w:snapToGrid w:val="0"/>
              <w:spacing w:line="288" w:lineRule="auto"/>
              <w:ind w:firstLine="330" w:firstLineChars="150"/>
              <w:rPr>
                <w:sz w:val="22"/>
                <w:szCs w:val="22"/>
              </w:rPr>
            </w:pPr>
            <w:r>
              <w:rPr>
                <w:rFonts w:hint="eastAsia"/>
                <w:sz w:val="22"/>
                <w:szCs w:val="22"/>
              </w:rPr>
              <w:t>a.投标函按招标文件规定填报了招标人名称</w:t>
            </w:r>
            <w:r>
              <w:rPr>
                <w:rFonts w:hint="eastAsia"/>
                <w:b/>
                <w:bCs/>
                <w:sz w:val="22"/>
                <w:szCs w:val="22"/>
              </w:rPr>
              <w:t>、</w:t>
            </w:r>
            <w:r>
              <w:rPr>
                <w:rFonts w:hint="eastAsia"/>
                <w:sz w:val="22"/>
                <w:szCs w:val="22"/>
              </w:rPr>
              <w:t>项目名称、标段号、补遗书编号（如有）、服务期限、工程质量目标及安全目标；</w:t>
            </w:r>
          </w:p>
          <w:p>
            <w:pPr>
              <w:adjustRightInd w:val="0"/>
              <w:snapToGrid w:val="0"/>
              <w:spacing w:line="288" w:lineRule="auto"/>
              <w:ind w:firstLine="330" w:firstLineChars="150"/>
              <w:rPr>
                <w:sz w:val="22"/>
                <w:szCs w:val="22"/>
              </w:rPr>
            </w:pPr>
            <w:r>
              <w:rPr>
                <w:rFonts w:hint="eastAsia"/>
                <w:sz w:val="22"/>
                <w:szCs w:val="22"/>
              </w:rPr>
              <w:t>b.投标文件组成齐全完整，内容均按规定填写。</w:t>
            </w:r>
          </w:p>
          <w:p>
            <w:pPr>
              <w:adjustRightInd w:val="0"/>
              <w:snapToGrid w:val="0"/>
              <w:spacing w:line="288" w:lineRule="auto"/>
              <w:rPr>
                <w:sz w:val="22"/>
                <w:szCs w:val="22"/>
              </w:rPr>
            </w:pPr>
            <w:r>
              <w:rPr>
                <w:rFonts w:hint="eastAsia"/>
                <w:sz w:val="22"/>
                <w:szCs w:val="22"/>
              </w:rPr>
              <w:t>（2）投标文件上法定代表人或其授权代理人的签字、投标人的单位章盖章齐全，符合招标文件规定。</w:t>
            </w:r>
          </w:p>
          <w:p>
            <w:pPr>
              <w:adjustRightInd w:val="0"/>
              <w:snapToGrid w:val="0"/>
              <w:spacing w:line="288" w:lineRule="auto"/>
              <w:rPr>
                <w:sz w:val="22"/>
                <w:szCs w:val="22"/>
              </w:rPr>
            </w:pPr>
            <w:r>
              <w:rPr>
                <w:rFonts w:hint="eastAsia"/>
                <w:sz w:val="22"/>
                <w:szCs w:val="22"/>
              </w:rPr>
              <w:t>（3）投标人按照招标文件的规定提供了投标保证金：</w:t>
            </w:r>
          </w:p>
          <w:p>
            <w:pPr>
              <w:adjustRightInd w:val="0"/>
              <w:snapToGrid w:val="0"/>
              <w:spacing w:line="288" w:lineRule="auto"/>
              <w:ind w:firstLine="330" w:firstLineChars="150"/>
              <w:rPr>
                <w:sz w:val="22"/>
                <w:szCs w:val="22"/>
              </w:rPr>
            </w:pPr>
            <w:r>
              <w:rPr>
                <w:rFonts w:hint="eastAsia"/>
                <w:sz w:val="22"/>
                <w:szCs w:val="22"/>
              </w:rPr>
              <w:t>a.</w:t>
            </w:r>
            <w:r>
              <w:rPr>
                <w:sz w:val="22"/>
                <w:szCs w:val="22"/>
              </w:rPr>
              <w:t>投标保证金金额符合招标文件规定的金额，且投标保证金有效期不少于投标有效期</w:t>
            </w:r>
            <w:r>
              <w:rPr>
                <w:rFonts w:hint="eastAsia"/>
                <w:sz w:val="22"/>
                <w:szCs w:val="22"/>
              </w:rPr>
              <w:t>；</w:t>
            </w:r>
          </w:p>
          <w:p>
            <w:pPr>
              <w:adjustRightInd w:val="0"/>
              <w:snapToGrid w:val="0"/>
              <w:spacing w:line="288" w:lineRule="auto"/>
              <w:ind w:firstLine="330" w:firstLineChars="150"/>
              <w:rPr>
                <w:sz w:val="22"/>
                <w:szCs w:val="22"/>
              </w:rPr>
            </w:pPr>
            <w:r>
              <w:rPr>
                <w:rFonts w:hint="eastAsia"/>
                <w:sz w:val="22"/>
                <w:szCs w:val="22"/>
              </w:rPr>
              <w:t>b.</w:t>
            </w:r>
            <w:r>
              <w:rPr>
                <w:sz w:val="22"/>
                <w:szCs w:val="22"/>
              </w:rPr>
              <w:t>若投标保证金采用现金或支票形式提交，投标人应在</w:t>
            </w:r>
            <w:r>
              <w:rPr>
                <w:rFonts w:hint="eastAsia"/>
                <w:sz w:val="22"/>
                <w:szCs w:val="22"/>
              </w:rPr>
              <w:t>递交投标文件截止时间</w:t>
            </w:r>
            <w:r>
              <w:rPr>
                <w:sz w:val="22"/>
                <w:szCs w:val="22"/>
              </w:rPr>
              <w:t>之前，将投标保证金由投标人的基本账户转入</w:t>
            </w:r>
            <w:r>
              <w:rPr>
                <w:rFonts w:hint="eastAsia"/>
                <w:sz w:val="22"/>
                <w:szCs w:val="22"/>
              </w:rPr>
              <w:t>并到达</w:t>
            </w:r>
            <w:r>
              <w:rPr>
                <w:sz w:val="22"/>
                <w:szCs w:val="22"/>
              </w:rPr>
              <w:t>招标</w:t>
            </w:r>
            <w:r>
              <w:rPr>
                <w:rFonts w:hint="eastAsia"/>
                <w:sz w:val="22"/>
                <w:szCs w:val="22"/>
              </w:rPr>
              <w:t>文件</w:t>
            </w:r>
            <w:r>
              <w:rPr>
                <w:sz w:val="22"/>
                <w:szCs w:val="22"/>
              </w:rPr>
              <w:t>指定账户</w:t>
            </w:r>
            <w:r>
              <w:rPr>
                <w:rFonts w:hint="eastAsia"/>
                <w:sz w:val="22"/>
                <w:szCs w:val="22"/>
              </w:rPr>
              <w:t>；</w:t>
            </w:r>
          </w:p>
          <w:p>
            <w:pPr>
              <w:adjustRightInd w:val="0"/>
              <w:snapToGrid w:val="0"/>
              <w:spacing w:line="288" w:lineRule="auto"/>
              <w:ind w:firstLine="330" w:firstLineChars="150"/>
              <w:rPr>
                <w:sz w:val="22"/>
                <w:szCs w:val="22"/>
              </w:rPr>
            </w:pPr>
            <w:r>
              <w:rPr>
                <w:rFonts w:hint="eastAsia"/>
                <w:sz w:val="22"/>
                <w:szCs w:val="22"/>
              </w:rPr>
              <w:t>c.</w:t>
            </w:r>
            <w:r>
              <w:rPr>
                <w:sz w:val="22"/>
                <w:szCs w:val="22"/>
              </w:rPr>
              <w:t>若投标保证金采用银行保函形式提交，银行保函的格式、开具保函的银行均满足招标文件要求</w:t>
            </w:r>
            <w:r>
              <w:rPr>
                <w:rFonts w:hint="eastAsia" w:ascii="黑体" w:hAnsi="黑体" w:eastAsia="黑体" w:cs="黑体"/>
                <w:sz w:val="22"/>
                <w:szCs w:val="22"/>
              </w:rPr>
              <w:t>。</w:t>
            </w:r>
          </w:p>
          <w:p>
            <w:pPr>
              <w:adjustRightInd w:val="0"/>
              <w:snapToGrid w:val="0"/>
              <w:spacing w:line="288" w:lineRule="auto"/>
              <w:rPr>
                <w:sz w:val="22"/>
                <w:szCs w:val="22"/>
              </w:rPr>
            </w:pPr>
            <w:r>
              <w:rPr>
                <w:rFonts w:hint="eastAsia"/>
                <w:sz w:val="22"/>
                <w:szCs w:val="22"/>
              </w:rPr>
              <w:t>（4）</w:t>
            </w:r>
            <w:r>
              <w:rPr>
                <w:sz w:val="22"/>
                <w:szCs w:val="22"/>
              </w:rPr>
              <w:t>投标人法定代表人授权委托代理人签署投标文件的，</w:t>
            </w:r>
            <w:r>
              <w:rPr>
                <w:rFonts w:hint="eastAsia"/>
                <w:sz w:val="22"/>
                <w:szCs w:val="22"/>
              </w:rPr>
              <w:t>须</w:t>
            </w:r>
            <w:r>
              <w:rPr>
                <w:sz w:val="22"/>
                <w:szCs w:val="22"/>
              </w:rPr>
              <w:t>提交授权委托书，且授权人和被授权人均在授权委托书上签名</w:t>
            </w:r>
            <w:r>
              <w:rPr>
                <w:rFonts w:hint="eastAsia"/>
                <w:sz w:val="22"/>
                <w:szCs w:val="22"/>
              </w:rPr>
              <w:t>。</w:t>
            </w:r>
          </w:p>
          <w:p>
            <w:pPr>
              <w:adjustRightInd w:val="0"/>
              <w:snapToGrid w:val="0"/>
              <w:spacing w:line="288" w:lineRule="auto"/>
              <w:rPr>
                <w:sz w:val="22"/>
                <w:szCs w:val="22"/>
              </w:rPr>
            </w:pPr>
            <w:r>
              <w:rPr>
                <w:rFonts w:hint="eastAsia"/>
                <w:sz w:val="22"/>
                <w:szCs w:val="22"/>
              </w:rPr>
              <w:t>（5）</w:t>
            </w:r>
            <w:r>
              <w:rPr>
                <w:sz w:val="22"/>
                <w:szCs w:val="22"/>
              </w:rPr>
              <w:t>投标人法定代表人亲自签署投标文件的，提供了法定代表人身份证明，且法定代表人在法定代表人身份证明上签名</w:t>
            </w:r>
            <w:r>
              <w:rPr>
                <w:rFonts w:hint="eastAsia"/>
                <w:sz w:val="22"/>
                <w:szCs w:val="22"/>
              </w:rPr>
              <w:t>。</w:t>
            </w:r>
          </w:p>
          <w:p>
            <w:pPr>
              <w:adjustRightInd w:val="0"/>
              <w:snapToGrid w:val="0"/>
              <w:spacing w:line="288" w:lineRule="auto"/>
              <w:rPr>
                <w:sz w:val="22"/>
                <w:szCs w:val="22"/>
              </w:rPr>
            </w:pPr>
            <w:r>
              <w:rPr>
                <w:rFonts w:hint="eastAsia"/>
                <w:sz w:val="22"/>
                <w:szCs w:val="22"/>
              </w:rPr>
              <w:t>（6）本项目不接受联合体投标。</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941" w:type="dxa"/>
            <w:tcBorders>
              <w:tl2br w:val="nil"/>
              <w:tr2bl w:val="nil"/>
            </w:tcBorders>
            <w:vAlign w:val="center"/>
          </w:tcPr>
          <w:p>
            <w:pPr>
              <w:spacing w:line="400" w:lineRule="atLeast"/>
              <w:jc w:val="center"/>
              <w:rPr>
                <w:sz w:val="22"/>
                <w:szCs w:val="22"/>
              </w:rPr>
            </w:pPr>
            <w:r>
              <w:rPr>
                <w:sz w:val="22"/>
                <w:szCs w:val="22"/>
              </w:rPr>
              <w:t>2.1.1</w:t>
            </w:r>
          </w:p>
          <w:p>
            <w:pPr>
              <w:spacing w:line="400" w:lineRule="atLeast"/>
              <w:jc w:val="center"/>
              <w:rPr>
                <w:rFonts w:ascii="宋体" w:hAnsi="宋体"/>
                <w:sz w:val="22"/>
                <w:szCs w:val="22"/>
              </w:rPr>
            </w:pPr>
            <w:r>
              <w:rPr>
                <w:sz w:val="22"/>
                <w:szCs w:val="22"/>
              </w:rPr>
              <w:t>2.1.3</w:t>
            </w:r>
          </w:p>
        </w:tc>
        <w:tc>
          <w:tcPr>
            <w:tcW w:w="1182" w:type="dxa"/>
            <w:tcBorders>
              <w:tl2br w:val="nil"/>
              <w:tr2bl w:val="nil"/>
            </w:tcBorders>
            <w:vAlign w:val="center"/>
          </w:tcPr>
          <w:p>
            <w:pPr>
              <w:spacing w:line="400" w:lineRule="atLeast"/>
              <w:jc w:val="center"/>
              <w:rPr>
                <w:rFonts w:ascii="宋体" w:hAnsi="宋体"/>
                <w:sz w:val="22"/>
                <w:szCs w:val="22"/>
              </w:rPr>
            </w:pPr>
            <w:r>
              <w:rPr>
                <w:rFonts w:hint="eastAsia" w:ascii="宋体" w:hAnsi="宋体"/>
                <w:sz w:val="22"/>
                <w:szCs w:val="22"/>
              </w:rPr>
              <w:t>形式评审与响应性评审标准</w:t>
            </w:r>
          </w:p>
        </w:tc>
        <w:tc>
          <w:tcPr>
            <w:tcW w:w="6948" w:type="dxa"/>
            <w:tcBorders>
              <w:tl2br w:val="nil"/>
              <w:tr2bl w:val="nil"/>
            </w:tcBorders>
          </w:tcPr>
          <w:p>
            <w:pPr>
              <w:adjustRightInd w:val="0"/>
              <w:snapToGrid w:val="0"/>
              <w:spacing w:line="288" w:lineRule="auto"/>
              <w:rPr>
                <w:sz w:val="22"/>
                <w:szCs w:val="22"/>
              </w:rPr>
            </w:pPr>
            <w:r>
              <w:rPr>
                <w:rFonts w:hint="eastAsia"/>
                <w:sz w:val="22"/>
                <w:szCs w:val="22"/>
              </w:rPr>
              <w:t>（7）投标人如有分包计划，</w:t>
            </w:r>
            <w:r>
              <w:rPr>
                <w:sz w:val="22"/>
                <w:szCs w:val="22"/>
              </w:rPr>
              <w:t>符合招标文件</w:t>
            </w:r>
            <w:r>
              <w:rPr>
                <w:rFonts w:hint="eastAsia"/>
                <w:sz w:val="22"/>
                <w:szCs w:val="22"/>
              </w:rPr>
              <w:t>第二章“投标人须知”第1.11款</w:t>
            </w:r>
            <w:r>
              <w:rPr>
                <w:sz w:val="22"/>
                <w:szCs w:val="22"/>
              </w:rPr>
              <w:t>规定，且按招标文件第</w:t>
            </w:r>
            <w:r>
              <w:rPr>
                <w:rFonts w:hint="eastAsia"/>
                <w:sz w:val="22"/>
                <w:szCs w:val="22"/>
              </w:rPr>
              <w:t>六章“投标文件格式”的要求填写了“拟分包项目情况表”。</w:t>
            </w:r>
          </w:p>
          <w:p>
            <w:pPr>
              <w:adjustRightInd w:val="0"/>
              <w:snapToGrid w:val="0"/>
              <w:spacing w:line="288" w:lineRule="auto"/>
              <w:rPr>
                <w:sz w:val="22"/>
                <w:szCs w:val="22"/>
              </w:rPr>
            </w:pPr>
            <w:r>
              <w:rPr>
                <w:rFonts w:hint="eastAsia"/>
                <w:sz w:val="22"/>
                <w:szCs w:val="22"/>
              </w:rPr>
              <w:t>（8）同一投标人未提交两个以上不同的投标文件。</w:t>
            </w:r>
          </w:p>
          <w:p>
            <w:pPr>
              <w:adjustRightInd w:val="0"/>
              <w:snapToGrid w:val="0"/>
              <w:spacing w:line="288" w:lineRule="auto"/>
              <w:rPr>
                <w:sz w:val="22"/>
                <w:szCs w:val="22"/>
              </w:rPr>
            </w:pPr>
            <w:r>
              <w:rPr>
                <w:rFonts w:hint="eastAsia"/>
                <w:sz w:val="22"/>
                <w:szCs w:val="22"/>
              </w:rPr>
              <w:t>（9）投标文件（包括电子版文件）中未出现有关投标报价的内容。</w:t>
            </w:r>
          </w:p>
          <w:p>
            <w:pPr>
              <w:adjustRightInd w:val="0"/>
              <w:snapToGrid w:val="0"/>
              <w:spacing w:line="288" w:lineRule="auto"/>
              <w:rPr>
                <w:sz w:val="22"/>
                <w:szCs w:val="22"/>
              </w:rPr>
            </w:pPr>
            <w:r>
              <w:rPr>
                <w:rFonts w:hint="eastAsia"/>
                <w:sz w:val="22"/>
                <w:szCs w:val="22"/>
              </w:rPr>
              <w:t>（10）</w:t>
            </w:r>
            <w:r>
              <w:rPr>
                <w:sz w:val="22"/>
                <w:szCs w:val="22"/>
              </w:rPr>
              <w:t>投标文件载明的招标项目完成期限未超过招标文件规定的时限</w:t>
            </w:r>
            <w:r>
              <w:rPr>
                <w:rFonts w:hint="eastAsia"/>
                <w:sz w:val="22"/>
                <w:szCs w:val="22"/>
              </w:rPr>
              <w:t>。</w:t>
            </w:r>
          </w:p>
          <w:p>
            <w:pPr>
              <w:adjustRightInd w:val="0"/>
              <w:snapToGrid w:val="0"/>
              <w:spacing w:line="288" w:lineRule="auto"/>
              <w:rPr>
                <w:sz w:val="22"/>
                <w:szCs w:val="22"/>
              </w:rPr>
            </w:pPr>
            <w:r>
              <w:rPr>
                <w:rFonts w:hint="eastAsia"/>
                <w:sz w:val="22"/>
                <w:szCs w:val="22"/>
              </w:rPr>
              <w:t>（11）</w:t>
            </w:r>
            <w:r>
              <w:rPr>
                <w:sz w:val="22"/>
                <w:szCs w:val="22"/>
              </w:rPr>
              <w:t>投标文件对招标文件的实质性要求和条件作出响应</w:t>
            </w:r>
            <w:r>
              <w:rPr>
                <w:rFonts w:hint="eastAsia"/>
                <w:sz w:val="22"/>
                <w:szCs w:val="22"/>
              </w:rPr>
              <w:t>。</w:t>
            </w:r>
          </w:p>
          <w:p>
            <w:pPr>
              <w:adjustRightInd w:val="0"/>
              <w:snapToGrid w:val="0"/>
              <w:spacing w:line="288" w:lineRule="auto"/>
              <w:rPr>
                <w:sz w:val="22"/>
                <w:szCs w:val="22"/>
              </w:rPr>
            </w:pPr>
            <w:r>
              <w:rPr>
                <w:rFonts w:hint="eastAsia"/>
                <w:sz w:val="22"/>
                <w:szCs w:val="22"/>
              </w:rPr>
              <w:t>（12）权利义务符合招标文件规定：</w:t>
            </w:r>
          </w:p>
          <w:p>
            <w:pPr>
              <w:snapToGrid w:val="0"/>
              <w:spacing w:line="288" w:lineRule="auto"/>
              <w:ind w:left="113" w:right="113" w:firstLine="220" w:firstLineChars="100"/>
              <w:rPr>
                <w:sz w:val="22"/>
                <w:szCs w:val="22"/>
              </w:rPr>
            </w:pPr>
            <w:r>
              <w:rPr>
                <w:sz w:val="22"/>
                <w:szCs w:val="22"/>
              </w:rPr>
              <w:t>a.投标人应接受招标文件规定的风险划分原则，未提出新的风险划分办法；</w:t>
            </w:r>
          </w:p>
          <w:p>
            <w:pPr>
              <w:snapToGrid w:val="0"/>
              <w:spacing w:line="288" w:lineRule="auto"/>
              <w:ind w:left="113" w:right="113" w:firstLine="220" w:firstLineChars="100"/>
              <w:rPr>
                <w:sz w:val="22"/>
                <w:szCs w:val="22"/>
              </w:rPr>
            </w:pPr>
            <w:r>
              <w:rPr>
                <w:sz w:val="22"/>
                <w:szCs w:val="22"/>
              </w:rPr>
              <w:t>b.投标人未增加发包人的责任范围，或减少投标人义务；</w:t>
            </w:r>
          </w:p>
          <w:p>
            <w:pPr>
              <w:snapToGrid w:val="0"/>
              <w:spacing w:line="288" w:lineRule="auto"/>
              <w:ind w:left="113" w:right="113" w:firstLine="220" w:firstLineChars="100"/>
              <w:rPr>
                <w:sz w:val="22"/>
                <w:szCs w:val="22"/>
              </w:rPr>
            </w:pPr>
            <w:r>
              <w:rPr>
                <w:sz w:val="22"/>
                <w:szCs w:val="22"/>
              </w:rPr>
              <w:t>c.投标人未提出不同的支付办法；</w:t>
            </w:r>
          </w:p>
          <w:p>
            <w:pPr>
              <w:snapToGrid w:val="0"/>
              <w:spacing w:line="288" w:lineRule="auto"/>
              <w:ind w:left="113" w:right="113" w:firstLine="220" w:firstLineChars="100"/>
              <w:rPr>
                <w:sz w:val="22"/>
                <w:szCs w:val="22"/>
              </w:rPr>
            </w:pPr>
            <w:r>
              <w:rPr>
                <w:sz w:val="22"/>
                <w:szCs w:val="22"/>
              </w:rPr>
              <w:t>d.投标人对合同纠纷、事故处理办法未提出异议；</w:t>
            </w:r>
          </w:p>
          <w:p>
            <w:pPr>
              <w:snapToGrid w:val="0"/>
              <w:spacing w:line="288" w:lineRule="auto"/>
              <w:ind w:left="113" w:right="113" w:firstLine="220" w:firstLineChars="100"/>
              <w:rPr>
                <w:sz w:val="22"/>
                <w:szCs w:val="22"/>
              </w:rPr>
            </w:pPr>
            <w:r>
              <w:rPr>
                <w:sz w:val="22"/>
                <w:szCs w:val="22"/>
              </w:rPr>
              <w:t>e.投标人在投标活动中无欺诈行为；</w:t>
            </w:r>
          </w:p>
          <w:p>
            <w:pPr>
              <w:adjustRightInd w:val="0"/>
              <w:snapToGrid w:val="0"/>
              <w:spacing w:line="288" w:lineRule="auto"/>
              <w:ind w:firstLine="330" w:firstLineChars="150"/>
              <w:rPr>
                <w:sz w:val="22"/>
                <w:szCs w:val="22"/>
              </w:rPr>
            </w:pPr>
            <w:r>
              <w:rPr>
                <w:sz w:val="22"/>
                <w:szCs w:val="22"/>
              </w:rPr>
              <w:t>f.投标人未对合同条款有重要保留。</w:t>
            </w:r>
          </w:p>
          <w:p>
            <w:pPr>
              <w:adjustRightInd w:val="0"/>
              <w:snapToGrid w:val="0"/>
              <w:spacing w:line="288" w:lineRule="auto"/>
              <w:rPr>
                <w:rFonts w:ascii="宋体" w:hAnsi="宋体" w:cs="宋体"/>
                <w:b/>
                <w:bCs/>
                <w:szCs w:val="21"/>
              </w:rPr>
            </w:pPr>
            <w:r>
              <w:rPr>
                <w:rFonts w:hint="eastAsia"/>
                <w:sz w:val="22"/>
                <w:szCs w:val="22"/>
              </w:rPr>
              <w:t>（13）</w:t>
            </w:r>
            <w:r>
              <w:rPr>
                <w:rFonts w:hint="eastAsia" w:ascii="宋体" w:hAnsi="宋体" w:cs="宋体"/>
                <w:b/>
                <w:bCs/>
                <w:szCs w:val="21"/>
              </w:rPr>
              <w:t>投标人网上购买招标文件的标段、投标保证金提交的标段和投标文件所投标段一致。</w:t>
            </w:r>
          </w:p>
          <w:p>
            <w:pPr>
              <w:pStyle w:val="36"/>
              <w:ind w:left="0" w:leftChars="0" w:firstLine="0" w:firstLineChars="0"/>
            </w:pPr>
            <w:r>
              <w:rPr>
                <w:rFonts w:hint="eastAsia"/>
              </w:rPr>
              <w:t>（14）投标人对其信誉情况的承诺与事实相符。</w:t>
            </w:r>
          </w:p>
          <w:p>
            <w:pPr>
              <w:snapToGrid w:val="0"/>
              <w:spacing w:line="288" w:lineRule="auto"/>
              <w:jc w:val="left"/>
              <w:rPr>
                <w:sz w:val="22"/>
                <w:szCs w:val="22"/>
              </w:rPr>
            </w:pPr>
            <w:r>
              <w:rPr>
                <w:rFonts w:hint="eastAsia"/>
                <w:sz w:val="22"/>
                <w:szCs w:val="22"/>
              </w:rPr>
              <w:t>（15）投标文件未附有招标人不能接受的条件。</w:t>
            </w:r>
          </w:p>
          <w:p>
            <w:pPr>
              <w:snapToGrid w:val="0"/>
              <w:spacing w:line="288" w:lineRule="auto"/>
              <w:jc w:val="left"/>
              <w:rPr>
                <w:sz w:val="22"/>
                <w:szCs w:val="22"/>
              </w:rPr>
            </w:pPr>
          </w:p>
          <w:p>
            <w:pPr>
              <w:snapToGrid w:val="0"/>
              <w:spacing w:line="288" w:lineRule="auto"/>
              <w:rPr>
                <w:rFonts w:ascii="黑体" w:hAnsi="黑体" w:eastAsia="黑体"/>
                <w:sz w:val="22"/>
                <w:szCs w:val="22"/>
              </w:rPr>
            </w:pPr>
            <w:r>
              <w:rPr>
                <w:rFonts w:hint="eastAsia" w:ascii="黑体" w:hAnsi="黑体" w:eastAsia="黑体"/>
                <w:sz w:val="22"/>
                <w:szCs w:val="22"/>
              </w:rPr>
              <w:t>报价文件评审标准：</w:t>
            </w:r>
          </w:p>
          <w:p>
            <w:pPr>
              <w:snapToGrid w:val="0"/>
              <w:spacing w:line="288" w:lineRule="auto"/>
              <w:rPr>
                <w:sz w:val="22"/>
                <w:szCs w:val="22"/>
              </w:rPr>
            </w:pPr>
            <w:r>
              <w:rPr>
                <w:rFonts w:hint="eastAsia"/>
                <w:sz w:val="22"/>
                <w:szCs w:val="22"/>
              </w:rPr>
              <w:t>（1）投标</w:t>
            </w:r>
            <w:r>
              <w:rPr>
                <w:sz w:val="22"/>
                <w:szCs w:val="22"/>
              </w:rPr>
              <w:t>文件按照招标文件规定的格式、内容填写，字迹清晰可辨</w:t>
            </w:r>
            <w:r>
              <w:rPr>
                <w:rFonts w:hint="eastAsia"/>
                <w:sz w:val="22"/>
                <w:szCs w:val="22"/>
              </w:rPr>
              <w:t>，内容齐全完整</w:t>
            </w:r>
            <w:r>
              <w:rPr>
                <w:sz w:val="22"/>
                <w:szCs w:val="22"/>
              </w:rPr>
              <w:t>：</w:t>
            </w:r>
          </w:p>
          <w:p>
            <w:pPr>
              <w:adjustRightInd w:val="0"/>
              <w:snapToGrid w:val="0"/>
              <w:spacing w:line="288" w:lineRule="auto"/>
              <w:ind w:firstLine="440" w:firstLineChars="200"/>
              <w:rPr>
                <w:sz w:val="22"/>
                <w:szCs w:val="22"/>
              </w:rPr>
            </w:pPr>
            <w:r>
              <w:rPr>
                <w:rFonts w:hint="eastAsia"/>
                <w:sz w:val="22"/>
                <w:szCs w:val="22"/>
              </w:rPr>
              <w:t>a.</w:t>
            </w:r>
            <w:r>
              <w:rPr>
                <w:sz w:val="22"/>
                <w:szCs w:val="22"/>
              </w:rPr>
              <w:t>.投标函按招标文件规定填报了招标人名称、项目名称、标段号、补遗书编号（如有）、投标价（包括大写金额和小写金额）</w:t>
            </w:r>
            <w:r>
              <w:rPr>
                <w:rFonts w:hint="eastAsia"/>
                <w:sz w:val="22"/>
                <w:szCs w:val="22"/>
              </w:rPr>
              <w:t>；</w:t>
            </w:r>
          </w:p>
          <w:p>
            <w:pPr>
              <w:adjustRightInd w:val="0"/>
              <w:snapToGrid w:val="0"/>
              <w:spacing w:line="288" w:lineRule="auto"/>
              <w:ind w:firstLine="440" w:firstLineChars="200"/>
              <w:rPr>
                <w:sz w:val="22"/>
                <w:szCs w:val="22"/>
              </w:rPr>
            </w:pPr>
            <w:r>
              <w:rPr>
                <w:rFonts w:hint="eastAsia"/>
                <w:sz w:val="22"/>
                <w:szCs w:val="22"/>
              </w:rPr>
              <w:t>b.报价</w:t>
            </w:r>
            <w:r>
              <w:rPr>
                <w:sz w:val="22"/>
                <w:szCs w:val="22"/>
              </w:rPr>
              <w:t>清单说明文字与招标文件规定一致，未进行实质性修改和删减；</w:t>
            </w:r>
          </w:p>
          <w:p>
            <w:pPr>
              <w:adjustRightInd w:val="0"/>
              <w:snapToGrid w:val="0"/>
              <w:spacing w:line="288" w:lineRule="auto"/>
              <w:ind w:firstLine="440" w:firstLineChars="200"/>
              <w:rPr>
                <w:sz w:val="22"/>
                <w:szCs w:val="22"/>
              </w:rPr>
            </w:pPr>
            <w:r>
              <w:rPr>
                <w:rFonts w:hint="eastAsia" w:eastAsia="黑体"/>
                <w:sz w:val="22"/>
                <w:szCs w:val="22"/>
              </w:rPr>
              <w:t>c.</w:t>
            </w:r>
            <w:r>
              <w:rPr>
                <w:rFonts w:hint="eastAsia"/>
                <w:sz w:val="22"/>
                <w:szCs w:val="22"/>
              </w:rPr>
              <w:t>投标文件组成齐全完整（包括报价清单各项表格）</w:t>
            </w:r>
            <w:r>
              <w:rPr>
                <w:sz w:val="22"/>
                <w:szCs w:val="22"/>
              </w:rPr>
              <w:t>，</w:t>
            </w:r>
            <w:r>
              <w:rPr>
                <w:rFonts w:hint="eastAsia"/>
                <w:sz w:val="22"/>
                <w:szCs w:val="22"/>
              </w:rPr>
              <w:t>内容均按规定填写。</w:t>
            </w:r>
          </w:p>
          <w:p>
            <w:pPr>
              <w:snapToGrid w:val="0"/>
              <w:spacing w:line="288" w:lineRule="auto"/>
              <w:rPr>
                <w:sz w:val="22"/>
                <w:szCs w:val="22"/>
              </w:rPr>
            </w:pPr>
            <w:r>
              <w:rPr>
                <w:rFonts w:hint="eastAsia"/>
                <w:sz w:val="22"/>
                <w:szCs w:val="22"/>
              </w:rPr>
              <w:t>（2）报价</w:t>
            </w:r>
            <w:r>
              <w:rPr>
                <w:sz w:val="22"/>
                <w:szCs w:val="22"/>
              </w:rPr>
              <w:t>文件上法定代表人或其授权代理人的签字、投标人的单位章盖章齐全，符合招标文件规定。</w:t>
            </w:r>
          </w:p>
          <w:p>
            <w:pPr>
              <w:snapToGrid w:val="0"/>
              <w:spacing w:line="288" w:lineRule="auto"/>
              <w:rPr>
                <w:sz w:val="22"/>
                <w:szCs w:val="22"/>
              </w:rPr>
            </w:pPr>
            <w:r>
              <w:rPr>
                <w:rFonts w:hint="eastAsia"/>
                <w:sz w:val="22"/>
                <w:szCs w:val="22"/>
              </w:rPr>
              <w:t>（3）投标报价未超过招标文件设定的最高投标限价（如有）。</w:t>
            </w:r>
          </w:p>
          <w:p>
            <w:pPr>
              <w:snapToGrid w:val="0"/>
              <w:spacing w:line="288" w:lineRule="auto"/>
              <w:rPr>
                <w:sz w:val="22"/>
                <w:szCs w:val="22"/>
              </w:rPr>
            </w:pPr>
            <w:r>
              <w:rPr>
                <w:rFonts w:hint="eastAsia"/>
                <w:sz w:val="22"/>
                <w:szCs w:val="22"/>
              </w:rPr>
              <w:t>（4）投标报价的大写金额能够确定具体数值。</w:t>
            </w:r>
          </w:p>
          <w:p>
            <w:pPr>
              <w:snapToGrid w:val="0"/>
              <w:spacing w:line="288" w:lineRule="auto"/>
              <w:rPr>
                <w:sz w:val="22"/>
                <w:szCs w:val="22"/>
              </w:rPr>
            </w:pPr>
            <w:r>
              <w:rPr>
                <w:rFonts w:hint="eastAsia"/>
                <w:sz w:val="22"/>
                <w:szCs w:val="22"/>
              </w:rPr>
              <w:t>（5）</w:t>
            </w:r>
            <w:r>
              <w:rPr>
                <w:sz w:val="22"/>
                <w:szCs w:val="22"/>
              </w:rPr>
              <w:t>同一投标人未提交两个以上不同的投标报价</w:t>
            </w:r>
            <w:r>
              <w:rPr>
                <w:rFonts w:hint="eastAsia"/>
                <w:sz w:val="22"/>
                <w:szCs w:val="22"/>
              </w:rPr>
              <w:t>。</w:t>
            </w:r>
          </w:p>
          <w:p>
            <w:pPr>
              <w:adjustRightInd w:val="0"/>
              <w:snapToGrid w:val="0"/>
              <w:spacing w:line="288" w:lineRule="auto"/>
              <w:rPr>
                <w:sz w:val="22"/>
                <w:szCs w:val="22"/>
              </w:rPr>
            </w:pPr>
            <w:r>
              <w:rPr>
                <w:rFonts w:hint="eastAsia"/>
                <w:sz w:val="22"/>
                <w:szCs w:val="22"/>
              </w:rPr>
              <w:t>（6）未附有招标人不能接受的条件。</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23" w:hRule="atLeast"/>
          <w:jc w:val="center"/>
        </w:trPr>
        <w:tc>
          <w:tcPr>
            <w:tcW w:w="941" w:type="dxa"/>
            <w:tcBorders>
              <w:tl2br w:val="nil"/>
              <w:tr2bl w:val="nil"/>
            </w:tcBorders>
            <w:vAlign w:val="center"/>
          </w:tcPr>
          <w:p>
            <w:pPr>
              <w:snapToGrid w:val="0"/>
              <w:spacing w:line="288" w:lineRule="auto"/>
              <w:jc w:val="center"/>
              <w:rPr>
                <w:sz w:val="22"/>
                <w:szCs w:val="22"/>
              </w:rPr>
            </w:pPr>
            <w:r>
              <w:rPr>
                <w:sz w:val="22"/>
                <w:szCs w:val="22"/>
              </w:rPr>
              <w:t>2.1.2</w:t>
            </w:r>
          </w:p>
        </w:tc>
        <w:tc>
          <w:tcPr>
            <w:tcW w:w="1182" w:type="dxa"/>
            <w:tcBorders>
              <w:tl2br w:val="nil"/>
              <w:tr2bl w:val="nil"/>
            </w:tcBorders>
            <w:vAlign w:val="center"/>
          </w:tcPr>
          <w:p>
            <w:pPr>
              <w:snapToGrid w:val="0"/>
              <w:spacing w:line="288" w:lineRule="auto"/>
              <w:jc w:val="center"/>
              <w:rPr>
                <w:sz w:val="22"/>
                <w:szCs w:val="22"/>
              </w:rPr>
            </w:pPr>
            <w:r>
              <w:rPr>
                <w:sz w:val="22"/>
                <w:szCs w:val="22"/>
              </w:rPr>
              <w:t>资格评审标准</w:t>
            </w:r>
          </w:p>
        </w:tc>
        <w:tc>
          <w:tcPr>
            <w:tcW w:w="6948" w:type="dxa"/>
            <w:tcBorders>
              <w:tl2br w:val="nil"/>
              <w:tr2bl w:val="nil"/>
            </w:tcBorders>
          </w:tcPr>
          <w:p>
            <w:pPr>
              <w:adjustRightInd w:val="0"/>
              <w:snapToGrid w:val="0"/>
              <w:spacing w:line="288" w:lineRule="auto"/>
              <w:rPr>
                <w:sz w:val="22"/>
                <w:szCs w:val="22"/>
              </w:rPr>
            </w:pPr>
            <w:r>
              <w:rPr>
                <w:rFonts w:hint="eastAsia"/>
                <w:sz w:val="22"/>
                <w:szCs w:val="22"/>
              </w:rPr>
              <w:t>（1）</w:t>
            </w:r>
            <w:r>
              <w:rPr>
                <w:sz w:val="22"/>
                <w:szCs w:val="22"/>
              </w:rPr>
              <w:t>投标人具备有效的营业执照、组织机构代码证、勘察资质证书、设计资质证书</w:t>
            </w:r>
            <w:r>
              <w:rPr>
                <w:rFonts w:hint="eastAsia"/>
                <w:sz w:val="22"/>
                <w:szCs w:val="22"/>
              </w:rPr>
              <w:t>、工程咨询资信证书</w:t>
            </w:r>
            <w:r>
              <w:rPr>
                <w:sz w:val="22"/>
                <w:szCs w:val="22"/>
              </w:rPr>
              <w:t>；</w:t>
            </w:r>
          </w:p>
          <w:p>
            <w:pPr>
              <w:snapToGrid w:val="0"/>
              <w:spacing w:line="288" w:lineRule="auto"/>
              <w:jc w:val="left"/>
              <w:rPr>
                <w:sz w:val="22"/>
                <w:szCs w:val="22"/>
              </w:rPr>
            </w:pPr>
            <w:r>
              <w:rPr>
                <w:rFonts w:hint="eastAsia"/>
                <w:sz w:val="22"/>
                <w:szCs w:val="22"/>
              </w:rPr>
              <w:t>（2）</w:t>
            </w:r>
            <w:r>
              <w:rPr>
                <w:sz w:val="22"/>
                <w:szCs w:val="22"/>
              </w:rPr>
              <w:t>投标人的资质等级符合招标文件规定；</w:t>
            </w:r>
          </w:p>
          <w:p>
            <w:pPr>
              <w:snapToGrid w:val="0"/>
              <w:spacing w:line="288" w:lineRule="auto"/>
              <w:jc w:val="left"/>
              <w:rPr>
                <w:sz w:val="22"/>
                <w:szCs w:val="22"/>
              </w:rPr>
            </w:pPr>
            <w:r>
              <w:rPr>
                <w:rFonts w:hint="eastAsia"/>
                <w:sz w:val="22"/>
                <w:szCs w:val="22"/>
              </w:rPr>
              <w:t>（3）</w:t>
            </w:r>
            <w:r>
              <w:rPr>
                <w:sz w:val="22"/>
                <w:szCs w:val="22"/>
              </w:rPr>
              <w:t>投标人的类似项目业绩符合招标文件规定；</w:t>
            </w:r>
          </w:p>
          <w:p>
            <w:pPr>
              <w:snapToGrid w:val="0"/>
              <w:spacing w:line="288" w:lineRule="auto"/>
              <w:jc w:val="left"/>
              <w:rPr>
                <w:sz w:val="22"/>
                <w:szCs w:val="22"/>
              </w:rPr>
            </w:pPr>
            <w:r>
              <w:rPr>
                <w:rFonts w:hint="eastAsia"/>
                <w:sz w:val="22"/>
                <w:szCs w:val="22"/>
              </w:rPr>
              <w:t>（4）</w:t>
            </w:r>
            <w:r>
              <w:rPr>
                <w:sz w:val="22"/>
                <w:szCs w:val="22"/>
              </w:rPr>
              <w:t>投标人的信誉符合招标文件规定；</w:t>
            </w:r>
          </w:p>
          <w:p>
            <w:pPr>
              <w:snapToGrid w:val="0"/>
              <w:spacing w:line="288" w:lineRule="auto"/>
              <w:jc w:val="left"/>
              <w:rPr>
                <w:sz w:val="22"/>
                <w:szCs w:val="22"/>
              </w:rPr>
            </w:pPr>
            <w:r>
              <w:rPr>
                <w:rFonts w:hint="eastAsia"/>
                <w:sz w:val="22"/>
                <w:szCs w:val="22"/>
              </w:rPr>
              <w:t>（5）</w:t>
            </w:r>
            <w:r>
              <w:rPr>
                <w:sz w:val="22"/>
                <w:szCs w:val="22"/>
              </w:rPr>
              <w:t>投标人的</w:t>
            </w:r>
            <w:r>
              <w:rPr>
                <w:rFonts w:hint="eastAsia"/>
                <w:sz w:val="22"/>
                <w:szCs w:val="22"/>
              </w:rPr>
              <w:t>人员</w:t>
            </w:r>
            <w:r>
              <w:rPr>
                <w:sz w:val="22"/>
                <w:szCs w:val="22"/>
              </w:rPr>
              <w:t>资格符合招标文件规定；</w:t>
            </w:r>
          </w:p>
          <w:p>
            <w:pPr>
              <w:snapToGrid w:val="0"/>
              <w:spacing w:line="288" w:lineRule="auto"/>
              <w:jc w:val="left"/>
              <w:rPr>
                <w:sz w:val="22"/>
                <w:szCs w:val="22"/>
              </w:rPr>
            </w:pPr>
            <w:r>
              <w:rPr>
                <w:rFonts w:hint="eastAsia"/>
                <w:sz w:val="22"/>
                <w:szCs w:val="22"/>
              </w:rPr>
              <w:t>（6）</w:t>
            </w:r>
            <w:r>
              <w:rPr>
                <w:sz w:val="22"/>
                <w:szCs w:val="22"/>
              </w:rPr>
              <w:t>投标人的其他要求符合招标文件规定；</w:t>
            </w:r>
          </w:p>
          <w:p>
            <w:pPr>
              <w:snapToGrid w:val="0"/>
              <w:spacing w:line="288" w:lineRule="auto"/>
              <w:jc w:val="left"/>
              <w:rPr>
                <w:sz w:val="22"/>
                <w:szCs w:val="22"/>
              </w:rPr>
            </w:pPr>
            <w:r>
              <w:rPr>
                <w:rFonts w:hint="eastAsia"/>
                <w:sz w:val="22"/>
                <w:szCs w:val="22"/>
              </w:rPr>
              <w:t>（7）</w:t>
            </w:r>
            <w:r>
              <w:rPr>
                <w:sz w:val="22"/>
                <w:szCs w:val="22"/>
              </w:rPr>
              <w:t>投标人不存在第二章“投标人须知”第 1.4.3 项或第 1.4.4 项规定的任何一种情形；</w:t>
            </w:r>
          </w:p>
          <w:p>
            <w:pPr>
              <w:snapToGrid w:val="0"/>
              <w:spacing w:line="288" w:lineRule="auto"/>
              <w:jc w:val="left"/>
              <w:rPr>
                <w:sz w:val="22"/>
                <w:szCs w:val="22"/>
              </w:rPr>
            </w:pPr>
            <w:r>
              <w:rPr>
                <w:rFonts w:hint="eastAsia"/>
                <w:sz w:val="22"/>
                <w:szCs w:val="22"/>
              </w:rPr>
              <w:t>（8）</w:t>
            </w:r>
            <w:r>
              <w:rPr>
                <w:sz w:val="22"/>
                <w:szCs w:val="22"/>
              </w:rPr>
              <w:t>投标人符合第二章“投标人须知”第 1.4.5 项规定</w:t>
            </w:r>
            <w:r>
              <w:rPr>
                <w:rStyle w:val="52"/>
                <w:sz w:val="22"/>
                <w:szCs w:val="22"/>
              </w:rPr>
              <w:footnoteReference w:id="1"/>
            </w:r>
            <w:r>
              <w:rPr>
                <w:sz w:val="22"/>
                <w:szCs w:val="22"/>
              </w:rPr>
              <w:t>；</w:t>
            </w:r>
          </w:p>
        </w:tc>
      </w:tr>
    </w:tbl>
    <w:p>
      <w:pPr>
        <w:spacing w:line="400" w:lineRule="atLeast"/>
        <w:rPr>
          <w:rFonts w:ascii="宋体" w:hAnsi="宋体" w:cs="宋体"/>
          <w:b/>
          <w:bCs/>
          <w:sz w:val="30"/>
          <w:szCs w:val="30"/>
        </w:rPr>
      </w:pPr>
      <w:r>
        <w:rPr>
          <w:rFonts w:hint="eastAsia" w:eastAsia="黑体"/>
          <w:sz w:val="30"/>
          <w:szCs w:val="30"/>
        </w:rPr>
        <w:br w:type="page"/>
      </w:r>
    </w:p>
    <w:tbl>
      <w:tblPr>
        <w:tblStyle w:val="37"/>
        <w:tblW w:w="9071"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1050"/>
        <w:gridCol w:w="1545"/>
        <w:gridCol w:w="6476"/>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jc w:val="center"/>
        </w:trPr>
        <w:tc>
          <w:tcPr>
            <w:tcW w:w="1050" w:type="dxa"/>
            <w:tcBorders>
              <w:tl2br w:val="nil"/>
              <w:tr2bl w:val="nil"/>
            </w:tcBorders>
          </w:tcPr>
          <w:p>
            <w:pPr>
              <w:snapToGrid w:val="0"/>
              <w:spacing w:line="288" w:lineRule="auto"/>
              <w:jc w:val="center"/>
              <w:rPr>
                <w:rFonts w:ascii="宋体"/>
                <w:sz w:val="22"/>
                <w:szCs w:val="22"/>
              </w:rPr>
            </w:pPr>
            <w:r>
              <w:rPr>
                <w:rFonts w:hint="eastAsia" w:ascii="宋体" w:hAnsi="宋体"/>
                <w:sz w:val="22"/>
                <w:szCs w:val="22"/>
              </w:rPr>
              <w:t>条款号</w:t>
            </w:r>
          </w:p>
        </w:tc>
        <w:tc>
          <w:tcPr>
            <w:tcW w:w="1545" w:type="dxa"/>
            <w:tcBorders>
              <w:tl2br w:val="nil"/>
              <w:tr2bl w:val="nil"/>
            </w:tcBorders>
          </w:tcPr>
          <w:p>
            <w:pPr>
              <w:snapToGrid w:val="0"/>
              <w:spacing w:line="288" w:lineRule="auto"/>
              <w:jc w:val="center"/>
              <w:rPr>
                <w:rFonts w:ascii="宋体"/>
                <w:sz w:val="22"/>
                <w:szCs w:val="22"/>
              </w:rPr>
            </w:pPr>
            <w:r>
              <w:rPr>
                <w:rFonts w:hint="eastAsia" w:ascii="宋体" w:hAnsi="宋体"/>
                <w:sz w:val="22"/>
                <w:szCs w:val="22"/>
              </w:rPr>
              <w:t>条款内容</w:t>
            </w:r>
          </w:p>
        </w:tc>
        <w:tc>
          <w:tcPr>
            <w:tcW w:w="6476" w:type="dxa"/>
            <w:tcBorders>
              <w:tl2br w:val="nil"/>
              <w:tr2bl w:val="nil"/>
            </w:tcBorders>
          </w:tcPr>
          <w:p>
            <w:pPr>
              <w:snapToGrid w:val="0"/>
              <w:spacing w:line="288" w:lineRule="auto"/>
              <w:jc w:val="center"/>
              <w:rPr>
                <w:rFonts w:ascii="宋体"/>
                <w:sz w:val="22"/>
                <w:szCs w:val="22"/>
              </w:rPr>
            </w:pPr>
            <w:r>
              <w:rPr>
                <w:rFonts w:hint="eastAsia" w:ascii="宋体" w:hAnsi="宋体"/>
                <w:sz w:val="22"/>
                <w:szCs w:val="22"/>
              </w:rPr>
              <w:t>编列内容</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jc w:val="center"/>
        </w:trPr>
        <w:tc>
          <w:tcPr>
            <w:tcW w:w="1050" w:type="dxa"/>
            <w:tcBorders>
              <w:tl2br w:val="nil"/>
              <w:tr2bl w:val="nil"/>
            </w:tcBorders>
            <w:vAlign w:val="center"/>
          </w:tcPr>
          <w:p>
            <w:pPr>
              <w:snapToGrid w:val="0"/>
              <w:spacing w:line="288" w:lineRule="auto"/>
              <w:jc w:val="center"/>
              <w:rPr>
                <w:sz w:val="22"/>
                <w:szCs w:val="22"/>
              </w:rPr>
            </w:pPr>
            <w:r>
              <w:rPr>
                <w:sz w:val="22"/>
                <w:szCs w:val="22"/>
              </w:rPr>
              <w:t>2.2.1</w:t>
            </w:r>
          </w:p>
        </w:tc>
        <w:tc>
          <w:tcPr>
            <w:tcW w:w="1545" w:type="dxa"/>
            <w:tcBorders>
              <w:tl2br w:val="nil"/>
              <w:tr2bl w:val="nil"/>
            </w:tcBorders>
            <w:vAlign w:val="center"/>
          </w:tcPr>
          <w:p>
            <w:pPr>
              <w:snapToGrid w:val="0"/>
              <w:spacing w:line="288" w:lineRule="auto"/>
              <w:jc w:val="center"/>
              <w:rPr>
                <w:sz w:val="22"/>
                <w:szCs w:val="22"/>
              </w:rPr>
            </w:pPr>
            <w:r>
              <w:rPr>
                <w:sz w:val="22"/>
                <w:szCs w:val="22"/>
              </w:rPr>
              <w:t>分值构成</w:t>
            </w:r>
          </w:p>
          <w:p>
            <w:pPr>
              <w:snapToGrid w:val="0"/>
              <w:spacing w:line="288" w:lineRule="auto"/>
              <w:jc w:val="center"/>
              <w:rPr>
                <w:sz w:val="22"/>
                <w:szCs w:val="22"/>
              </w:rPr>
            </w:pPr>
            <w:r>
              <w:rPr>
                <w:sz w:val="22"/>
                <w:szCs w:val="22"/>
              </w:rPr>
              <w:t>（总分100分）</w:t>
            </w:r>
          </w:p>
        </w:tc>
        <w:tc>
          <w:tcPr>
            <w:tcW w:w="6476" w:type="dxa"/>
            <w:tcBorders>
              <w:tl2br w:val="nil"/>
              <w:tr2bl w:val="nil"/>
            </w:tcBorders>
          </w:tcPr>
          <w:p>
            <w:pPr>
              <w:snapToGrid w:val="0"/>
              <w:spacing w:line="288" w:lineRule="auto"/>
              <w:jc w:val="left"/>
              <w:rPr>
                <w:b/>
                <w:sz w:val="22"/>
                <w:szCs w:val="22"/>
              </w:rPr>
            </w:pPr>
            <w:r>
              <w:rPr>
                <w:b/>
                <w:sz w:val="22"/>
                <w:szCs w:val="22"/>
              </w:rPr>
              <w:t>商务及技术文件评分分值构成：</w:t>
            </w:r>
            <w:r>
              <w:rPr>
                <w:rFonts w:hint="eastAsia"/>
                <w:b/>
                <w:sz w:val="22"/>
                <w:szCs w:val="22"/>
              </w:rPr>
              <w:t>90分</w:t>
            </w:r>
          </w:p>
          <w:p>
            <w:pPr>
              <w:snapToGrid w:val="0"/>
              <w:spacing w:line="288" w:lineRule="auto"/>
              <w:jc w:val="left"/>
              <w:rPr>
                <w:rFonts w:ascii="宋体" w:hAnsi="宋体"/>
                <w:sz w:val="22"/>
                <w:szCs w:val="22"/>
              </w:rPr>
            </w:pPr>
            <w:r>
              <w:rPr>
                <w:rFonts w:ascii="宋体" w:hAnsi="宋体"/>
                <w:sz w:val="22"/>
                <w:szCs w:val="22"/>
              </w:rPr>
              <w:t>技术建议书：40分</w:t>
            </w:r>
            <w:r>
              <w:rPr>
                <w:rFonts w:hint="eastAsia" w:ascii="宋体" w:hAnsi="宋体"/>
                <w:sz w:val="22"/>
                <w:szCs w:val="22"/>
              </w:rPr>
              <w:t>；</w:t>
            </w:r>
            <w:r>
              <w:rPr>
                <w:rFonts w:ascii="宋体" w:hAnsi="宋体"/>
                <w:sz w:val="22"/>
                <w:szCs w:val="22"/>
              </w:rPr>
              <w:t>主要人员：20分</w:t>
            </w:r>
            <w:r>
              <w:rPr>
                <w:rFonts w:hint="eastAsia" w:ascii="宋体" w:hAnsi="宋体"/>
                <w:sz w:val="22"/>
                <w:szCs w:val="22"/>
              </w:rPr>
              <w:t>；</w:t>
            </w:r>
            <w:r>
              <w:rPr>
                <w:rFonts w:ascii="宋体" w:hAnsi="宋体"/>
                <w:sz w:val="22"/>
                <w:szCs w:val="22"/>
              </w:rPr>
              <w:t>业绩：20分</w:t>
            </w:r>
            <w:r>
              <w:rPr>
                <w:rFonts w:hint="eastAsia" w:ascii="宋体" w:hAnsi="宋体"/>
                <w:sz w:val="22"/>
                <w:szCs w:val="22"/>
              </w:rPr>
              <w:t>；</w:t>
            </w:r>
            <w:r>
              <w:rPr>
                <w:rFonts w:ascii="宋体" w:hAnsi="宋体"/>
                <w:sz w:val="22"/>
                <w:szCs w:val="22"/>
              </w:rPr>
              <w:t>履约信誉：</w:t>
            </w:r>
            <w:r>
              <w:rPr>
                <w:rFonts w:hint="eastAsia" w:ascii="宋体" w:hAnsi="宋体"/>
                <w:sz w:val="22"/>
                <w:szCs w:val="22"/>
              </w:rPr>
              <w:t>10</w:t>
            </w:r>
            <w:r>
              <w:rPr>
                <w:rFonts w:ascii="宋体" w:hAnsi="宋体"/>
                <w:sz w:val="22"/>
                <w:szCs w:val="22"/>
              </w:rPr>
              <w:t>分</w:t>
            </w:r>
            <w:r>
              <w:rPr>
                <w:rFonts w:hint="eastAsia" w:ascii="宋体" w:hAnsi="宋体"/>
                <w:sz w:val="22"/>
                <w:szCs w:val="22"/>
              </w:rPr>
              <w:t>。</w:t>
            </w:r>
          </w:p>
          <w:p>
            <w:pPr>
              <w:snapToGrid w:val="0"/>
              <w:spacing w:line="288" w:lineRule="auto"/>
              <w:jc w:val="left"/>
              <w:rPr>
                <w:b/>
                <w:sz w:val="22"/>
                <w:szCs w:val="22"/>
              </w:rPr>
            </w:pPr>
            <w:r>
              <w:rPr>
                <w:b/>
                <w:sz w:val="22"/>
                <w:szCs w:val="22"/>
              </w:rPr>
              <w:t>报价文件评分分值构成：</w:t>
            </w:r>
            <w:r>
              <w:rPr>
                <w:rFonts w:hint="eastAsia"/>
                <w:b/>
                <w:sz w:val="22"/>
                <w:szCs w:val="22"/>
              </w:rPr>
              <w:t>10分</w:t>
            </w:r>
          </w:p>
          <w:p>
            <w:pPr>
              <w:snapToGrid w:val="0"/>
              <w:spacing w:line="288" w:lineRule="auto"/>
              <w:jc w:val="left"/>
              <w:rPr>
                <w:sz w:val="22"/>
                <w:szCs w:val="22"/>
              </w:rPr>
            </w:pPr>
            <w:r>
              <w:rPr>
                <w:sz w:val="22"/>
                <w:szCs w:val="22"/>
              </w:rPr>
              <w:t>评标价：</w:t>
            </w:r>
            <w:r>
              <w:rPr>
                <w:rFonts w:hint="eastAsia"/>
                <w:sz w:val="22"/>
                <w:szCs w:val="22"/>
                <w:u w:val="single"/>
              </w:rPr>
              <w:t>10</w:t>
            </w:r>
            <w:r>
              <w:rPr>
                <w:sz w:val="22"/>
                <w:szCs w:val="22"/>
              </w:rPr>
              <w:t>分</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694" w:hRule="atLeast"/>
          <w:jc w:val="center"/>
        </w:trPr>
        <w:tc>
          <w:tcPr>
            <w:tcW w:w="1050" w:type="dxa"/>
            <w:tcBorders>
              <w:tl2br w:val="nil"/>
              <w:tr2bl w:val="nil"/>
            </w:tcBorders>
            <w:vAlign w:val="center"/>
          </w:tcPr>
          <w:p>
            <w:pPr>
              <w:snapToGrid w:val="0"/>
              <w:spacing w:line="288" w:lineRule="auto"/>
              <w:jc w:val="center"/>
              <w:rPr>
                <w:sz w:val="22"/>
                <w:szCs w:val="22"/>
              </w:rPr>
            </w:pPr>
            <w:r>
              <w:rPr>
                <w:sz w:val="22"/>
                <w:szCs w:val="22"/>
              </w:rPr>
              <w:t>2.2.2</w:t>
            </w:r>
          </w:p>
        </w:tc>
        <w:tc>
          <w:tcPr>
            <w:tcW w:w="1545" w:type="dxa"/>
            <w:tcBorders>
              <w:tl2br w:val="nil"/>
              <w:tr2bl w:val="nil"/>
            </w:tcBorders>
            <w:vAlign w:val="center"/>
          </w:tcPr>
          <w:p>
            <w:pPr>
              <w:snapToGrid w:val="0"/>
              <w:spacing w:line="288" w:lineRule="auto"/>
              <w:jc w:val="center"/>
              <w:rPr>
                <w:rFonts w:ascii="宋体"/>
                <w:sz w:val="22"/>
                <w:szCs w:val="22"/>
              </w:rPr>
            </w:pPr>
            <w:r>
              <w:rPr>
                <w:rFonts w:hint="eastAsia" w:ascii="宋体" w:hAnsi="宋体"/>
                <w:sz w:val="22"/>
                <w:szCs w:val="22"/>
              </w:rPr>
              <w:t>评标基准价计算方法</w:t>
            </w:r>
          </w:p>
        </w:tc>
        <w:tc>
          <w:tcPr>
            <w:tcW w:w="6476" w:type="dxa"/>
            <w:tcBorders>
              <w:tl2br w:val="nil"/>
              <w:tr2bl w:val="nil"/>
            </w:tcBorders>
            <w:vAlign w:val="center"/>
          </w:tcPr>
          <w:p>
            <w:pPr>
              <w:snapToGrid w:val="0"/>
              <w:spacing w:line="288" w:lineRule="auto"/>
              <w:ind w:left="113" w:right="113" w:firstLine="220" w:firstLineChars="100"/>
              <w:rPr>
                <w:sz w:val="22"/>
                <w:szCs w:val="22"/>
              </w:rPr>
            </w:pPr>
            <w:r>
              <w:rPr>
                <w:sz w:val="22"/>
                <w:szCs w:val="22"/>
              </w:rPr>
              <w:t>评标基准价的计算：</w:t>
            </w:r>
          </w:p>
          <w:p>
            <w:pPr>
              <w:snapToGrid w:val="0"/>
              <w:spacing w:line="288" w:lineRule="auto"/>
              <w:ind w:left="113" w:right="113" w:firstLine="220" w:firstLineChars="100"/>
              <w:rPr>
                <w:sz w:val="22"/>
                <w:szCs w:val="22"/>
              </w:rPr>
            </w:pPr>
            <w:r>
              <w:rPr>
                <w:sz w:val="22"/>
                <w:szCs w:val="22"/>
              </w:rPr>
              <w:t>（1）评标价的确定：</w:t>
            </w:r>
          </w:p>
          <w:p>
            <w:pPr>
              <w:snapToGrid w:val="0"/>
              <w:spacing w:line="288" w:lineRule="auto"/>
              <w:ind w:left="113" w:right="113" w:firstLine="220" w:firstLineChars="100"/>
              <w:rPr>
                <w:sz w:val="22"/>
                <w:szCs w:val="22"/>
              </w:rPr>
            </w:pPr>
            <w:r>
              <w:rPr>
                <w:sz w:val="22"/>
                <w:szCs w:val="22"/>
              </w:rPr>
              <w:t>评标价=投标函文字报价</w:t>
            </w:r>
          </w:p>
          <w:p>
            <w:pPr>
              <w:snapToGrid w:val="0"/>
              <w:spacing w:line="288" w:lineRule="auto"/>
              <w:ind w:left="113" w:right="113" w:firstLine="220" w:firstLineChars="100"/>
              <w:rPr>
                <w:sz w:val="22"/>
                <w:szCs w:val="22"/>
              </w:rPr>
            </w:pPr>
            <w:r>
              <w:rPr>
                <w:sz w:val="22"/>
                <w:szCs w:val="22"/>
              </w:rPr>
              <w:t>（2）评标价平均值的计算：</w:t>
            </w:r>
          </w:p>
          <w:p>
            <w:pPr>
              <w:snapToGrid w:val="0"/>
              <w:spacing w:line="288" w:lineRule="auto"/>
              <w:ind w:left="113" w:right="113" w:firstLine="440" w:firstLineChars="200"/>
              <w:rPr>
                <w:sz w:val="22"/>
                <w:szCs w:val="22"/>
              </w:rPr>
            </w:pPr>
            <w:r>
              <w:rPr>
                <w:sz w:val="22"/>
                <w:szCs w:val="22"/>
              </w:rPr>
              <w:t>除按第二章</w:t>
            </w:r>
            <w:r>
              <w:rPr>
                <w:rFonts w:hint="eastAsia" w:ascii="宋体" w:hAnsi="宋体" w:cs="宋体"/>
                <w:sz w:val="22"/>
                <w:szCs w:val="22"/>
              </w:rPr>
              <w:t>“投标人须知”</w:t>
            </w:r>
            <w:r>
              <w:rPr>
                <w:sz w:val="22"/>
                <w:szCs w:val="22"/>
              </w:rPr>
              <w:t>第5.2.4项规定开标现场被宣布为不进入评标基准价计算的投标报价之外，所有投标人的评标价去掉一个最高值和一个最低值后的算术平均值即为评标价平均值</w:t>
            </w:r>
            <w:r>
              <w:rPr>
                <w:rFonts w:hint="eastAsia"/>
                <w:sz w:val="22"/>
                <w:szCs w:val="22"/>
              </w:rPr>
              <w:t>（</w:t>
            </w:r>
            <w:r>
              <w:rPr>
                <w:sz w:val="22"/>
                <w:szCs w:val="22"/>
              </w:rPr>
              <w:t>如果参与评标价平均值计算的有效投标人少于5家时，则计算评标价平均值时不去掉最高值和最低值</w:t>
            </w:r>
            <w:r>
              <w:rPr>
                <w:rFonts w:hint="eastAsia"/>
                <w:sz w:val="22"/>
                <w:szCs w:val="22"/>
              </w:rPr>
              <w:t>）。</w:t>
            </w:r>
          </w:p>
          <w:p>
            <w:pPr>
              <w:snapToGrid w:val="0"/>
              <w:spacing w:line="288" w:lineRule="auto"/>
              <w:ind w:left="113" w:right="113" w:firstLine="220" w:firstLineChars="100"/>
              <w:rPr>
                <w:sz w:val="22"/>
                <w:szCs w:val="22"/>
              </w:rPr>
            </w:pPr>
            <w:r>
              <w:rPr>
                <w:sz w:val="22"/>
                <w:szCs w:val="22"/>
              </w:rPr>
              <w:t>（3）评标基准价的确定：</w:t>
            </w:r>
          </w:p>
          <w:p>
            <w:pPr>
              <w:snapToGrid w:val="0"/>
              <w:spacing w:line="288" w:lineRule="auto"/>
              <w:ind w:firstLine="440" w:firstLineChars="200"/>
              <w:jc w:val="left"/>
              <w:rPr>
                <w:rFonts w:ascii="宋体" w:hAnsi="宋体"/>
                <w:sz w:val="22"/>
                <w:szCs w:val="22"/>
              </w:rPr>
            </w:pPr>
            <w:r>
              <w:rPr>
                <w:rFonts w:hint="eastAsia" w:ascii="宋体" w:hAnsi="宋体"/>
                <w:sz w:val="22"/>
                <w:szCs w:val="22"/>
              </w:rPr>
              <w:t>将评标价平均值直接作为评标基准价。</w:t>
            </w:r>
          </w:p>
          <w:p>
            <w:pPr>
              <w:snapToGrid w:val="0"/>
              <w:spacing w:line="288" w:lineRule="auto"/>
              <w:ind w:firstLine="440" w:firstLineChars="200"/>
              <w:jc w:val="left"/>
              <w:rPr>
                <w:rFonts w:ascii="宋体" w:hAnsi="宋体"/>
                <w:sz w:val="22"/>
                <w:szCs w:val="22"/>
              </w:rPr>
            </w:pPr>
            <w:r>
              <w:rPr>
                <w:rFonts w:hint="eastAsia" w:ascii="宋体" w:hAnsi="宋体"/>
                <w:sz w:val="22"/>
                <w:szCs w:val="22"/>
              </w:rPr>
              <w:t>计算结果保留二位小数，小数点后第三位四舍五入。</w:t>
            </w:r>
          </w:p>
          <w:p>
            <w:pPr>
              <w:snapToGrid w:val="0"/>
              <w:spacing w:line="288" w:lineRule="auto"/>
              <w:ind w:firstLine="440" w:firstLineChars="200"/>
              <w:jc w:val="left"/>
              <w:rPr>
                <w:rFonts w:ascii="宋体" w:hAnsi="宋体"/>
                <w:sz w:val="22"/>
                <w:szCs w:val="22"/>
              </w:rPr>
            </w:pPr>
            <w:r>
              <w:rPr>
                <w:sz w:val="22"/>
                <w:szCs w:val="22"/>
              </w:rPr>
              <w:t>在评标过程中，评标委员会应对招标人计算的评标基准价进行复核，存在计算错误的应予以修正并在评标报告中作出说明。除此之外，评标基准价在整个评标期间保持不变，不随任何因素发生变化。</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jc w:val="center"/>
        </w:trPr>
        <w:tc>
          <w:tcPr>
            <w:tcW w:w="1050" w:type="dxa"/>
            <w:tcBorders>
              <w:tl2br w:val="nil"/>
              <w:tr2bl w:val="nil"/>
            </w:tcBorders>
            <w:vAlign w:val="center"/>
          </w:tcPr>
          <w:p>
            <w:pPr>
              <w:snapToGrid w:val="0"/>
              <w:spacing w:line="288" w:lineRule="auto"/>
              <w:jc w:val="center"/>
              <w:rPr>
                <w:sz w:val="22"/>
                <w:szCs w:val="22"/>
              </w:rPr>
            </w:pPr>
            <w:r>
              <w:rPr>
                <w:sz w:val="22"/>
                <w:szCs w:val="22"/>
              </w:rPr>
              <w:t>2.2.3</w:t>
            </w:r>
          </w:p>
        </w:tc>
        <w:tc>
          <w:tcPr>
            <w:tcW w:w="1545" w:type="dxa"/>
            <w:tcBorders>
              <w:tl2br w:val="nil"/>
              <w:tr2bl w:val="nil"/>
            </w:tcBorders>
            <w:vAlign w:val="center"/>
          </w:tcPr>
          <w:p>
            <w:pPr>
              <w:snapToGrid w:val="0"/>
              <w:spacing w:line="288" w:lineRule="auto"/>
              <w:jc w:val="center"/>
              <w:rPr>
                <w:rFonts w:ascii="宋体"/>
                <w:sz w:val="22"/>
                <w:szCs w:val="22"/>
              </w:rPr>
            </w:pPr>
            <w:r>
              <w:rPr>
                <w:rFonts w:hint="eastAsia" w:ascii="宋体" w:hAnsi="宋体"/>
                <w:sz w:val="22"/>
                <w:szCs w:val="22"/>
              </w:rPr>
              <w:t>评标价的偏差率计算公式</w:t>
            </w:r>
          </w:p>
        </w:tc>
        <w:tc>
          <w:tcPr>
            <w:tcW w:w="6476" w:type="dxa"/>
            <w:tcBorders>
              <w:tl2br w:val="nil"/>
              <w:tr2bl w:val="nil"/>
            </w:tcBorders>
            <w:vAlign w:val="center"/>
          </w:tcPr>
          <w:p>
            <w:pPr>
              <w:snapToGrid w:val="0"/>
              <w:spacing w:line="288" w:lineRule="auto"/>
              <w:ind w:right="113"/>
              <w:jc w:val="left"/>
              <w:rPr>
                <w:rFonts w:ascii="宋体" w:hAnsi="宋体"/>
                <w:sz w:val="22"/>
                <w:szCs w:val="22"/>
              </w:rPr>
            </w:pPr>
            <w:r>
              <w:rPr>
                <w:sz w:val="22"/>
                <w:szCs w:val="22"/>
              </w:rPr>
              <w:t>偏差率=100%</w:t>
            </w:r>
            <w:r>
              <w:rPr>
                <w:rFonts w:hint="eastAsia" w:ascii="宋体" w:hAnsi="宋体" w:cs="宋体"/>
                <w:sz w:val="22"/>
                <w:szCs w:val="22"/>
              </w:rPr>
              <w:t>×（投标人评标价-评标基准价）</w:t>
            </w:r>
            <w:r>
              <w:rPr>
                <w:sz w:val="22"/>
                <w:szCs w:val="22"/>
              </w:rPr>
              <w:t>/评标基准价</w:t>
            </w:r>
          </w:p>
        </w:tc>
      </w:tr>
    </w:tbl>
    <w:p>
      <w:pPr>
        <w:tabs>
          <w:tab w:val="left" w:pos="7709"/>
        </w:tabs>
        <w:spacing w:line="400" w:lineRule="atLeast"/>
        <w:jc w:val="center"/>
        <w:rPr>
          <w:rFonts w:ascii="宋体" w:hAnsi="宋体"/>
          <w:b/>
          <w:szCs w:val="21"/>
        </w:rPr>
      </w:pPr>
    </w:p>
    <w:tbl>
      <w:tblPr>
        <w:tblStyle w:val="37"/>
        <w:tblW w:w="909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92"/>
        <w:gridCol w:w="747"/>
        <w:gridCol w:w="434"/>
        <w:gridCol w:w="465"/>
        <w:gridCol w:w="1110"/>
        <w:gridCol w:w="630"/>
        <w:gridCol w:w="525"/>
        <w:gridCol w:w="705"/>
        <w:gridCol w:w="3763"/>
        <w:gridCol w:w="2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23" w:type="dxa"/>
          <w:trHeight w:val="40" w:hRule="atLeast"/>
          <w:tblHeader/>
          <w:jc w:val="center"/>
        </w:trPr>
        <w:tc>
          <w:tcPr>
            <w:tcW w:w="5308" w:type="dxa"/>
            <w:gridSpan w:val="8"/>
            <w:tcBorders>
              <w:tl2br w:val="nil"/>
              <w:tr2bl w:val="nil"/>
            </w:tcBorders>
            <w:vAlign w:val="center"/>
          </w:tcPr>
          <w:p>
            <w:pPr>
              <w:spacing w:line="400" w:lineRule="atLeast"/>
              <w:jc w:val="center"/>
              <w:outlineLvl w:val="2"/>
              <w:rPr>
                <w:rFonts w:ascii="宋体"/>
                <w:b/>
                <w:sz w:val="22"/>
                <w:szCs w:val="22"/>
              </w:rPr>
            </w:pPr>
            <w:r>
              <w:rPr>
                <w:rFonts w:ascii="宋体" w:hAnsi="宋体"/>
                <w:b/>
                <w:szCs w:val="21"/>
              </w:rPr>
              <w:br w:type="page"/>
            </w:r>
            <w:r>
              <w:rPr>
                <w:rFonts w:hint="eastAsia" w:ascii="宋体" w:hAnsi="宋体"/>
                <w:b/>
                <w:sz w:val="22"/>
                <w:szCs w:val="22"/>
              </w:rPr>
              <w:t>评分因素与权重分值</w:t>
            </w:r>
          </w:p>
        </w:tc>
        <w:tc>
          <w:tcPr>
            <w:tcW w:w="3763" w:type="dxa"/>
            <w:vMerge w:val="restart"/>
            <w:tcBorders>
              <w:tl2br w:val="nil"/>
              <w:tr2bl w:val="nil"/>
            </w:tcBorders>
            <w:vAlign w:val="center"/>
          </w:tcPr>
          <w:p>
            <w:pPr>
              <w:spacing w:line="400" w:lineRule="atLeast"/>
              <w:jc w:val="center"/>
              <w:rPr>
                <w:rFonts w:ascii="宋体"/>
                <w:b/>
                <w:sz w:val="22"/>
                <w:szCs w:val="22"/>
              </w:rPr>
            </w:pPr>
            <w:r>
              <w:rPr>
                <w:rFonts w:hint="eastAsia" w:ascii="宋体" w:hAnsi="宋体"/>
                <w:b/>
                <w:sz w:val="22"/>
                <w:szCs w:val="22"/>
              </w:rPr>
              <w:t>评分标准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23" w:type="dxa"/>
          <w:trHeight w:val="40" w:hRule="atLeast"/>
          <w:tblHeader/>
          <w:jc w:val="center"/>
        </w:trPr>
        <w:tc>
          <w:tcPr>
            <w:tcW w:w="692" w:type="dxa"/>
            <w:tcBorders>
              <w:tl2br w:val="nil"/>
              <w:tr2bl w:val="nil"/>
            </w:tcBorders>
            <w:vAlign w:val="center"/>
          </w:tcPr>
          <w:p>
            <w:pPr>
              <w:spacing w:line="400" w:lineRule="atLeast"/>
              <w:jc w:val="center"/>
              <w:rPr>
                <w:rFonts w:ascii="宋体"/>
                <w:b/>
                <w:sz w:val="22"/>
                <w:szCs w:val="22"/>
              </w:rPr>
            </w:pPr>
            <w:r>
              <w:rPr>
                <w:rFonts w:hint="eastAsia" w:ascii="宋体" w:hAnsi="宋体"/>
                <w:b/>
                <w:sz w:val="22"/>
                <w:szCs w:val="22"/>
              </w:rPr>
              <w:t>条款号</w:t>
            </w:r>
          </w:p>
        </w:tc>
        <w:tc>
          <w:tcPr>
            <w:tcW w:w="747" w:type="dxa"/>
            <w:tcBorders>
              <w:tl2br w:val="nil"/>
              <w:tr2bl w:val="nil"/>
            </w:tcBorders>
            <w:vAlign w:val="center"/>
          </w:tcPr>
          <w:p>
            <w:pPr>
              <w:spacing w:line="400" w:lineRule="atLeast"/>
              <w:jc w:val="center"/>
              <w:rPr>
                <w:rFonts w:ascii="宋体"/>
                <w:b/>
                <w:sz w:val="22"/>
                <w:szCs w:val="22"/>
              </w:rPr>
            </w:pPr>
            <w:r>
              <w:rPr>
                <w:rFonts w:hint="eastAsia" w:ascii="宋体" w:hAnsi="宋体"/>
                <w:b/>
                <w:sz w:val="22"/>
                <w:szCs w:val="22"/>
              </w:rPr>
              <w:t>评分因素</w:t>
            </w:r>
          </w:p>
        </w:tc>
        <w:tc>
          <w:tcPr>
            <w:tcW w:w="899" w:type="dxa"/>
            <w:gridSpan w:val="2"/>
            <w:tcBorders>
              <w:tl2br w:val="nil"/>
              <w:tr2bl w:val="nil"/>
            </w:tcBorders>
            <w:vAlign w:val="center"/>
          </w:tcPr>
          <w:p>
            <w:pPr>
              <w:jc w:val="center"/>
              <w:rPr>
                <w:rFonts w:ascii="宋体"/>
                <w:b/>
                <w:sz w:val="22"/>
                <w:szCs w:val="22"/>
              </w:rPr>
            </w:pPr>
            <w:r>
              <w:rPr>
                <w:rFonts w:hint="eastAsia" w:ascii="宋体" w:hAnsi="宋体"/>
                <w:b/>
                <w:sz w:val="22"/>
                <w:szCs w:val="22"/>
              </w:rPr>
              <w:t>评分因素权重分值</w:t>
            </w:r>
          </w:p>
        </w:tc>
        <w:tc>
          <w:tcPr>
            <w:tcW w:w="2265" w:type="dxa"/>
            <w:gridSpan w:val="3"/>
            <w:tcBorders>
              <w:tl2br w:val="nil"/>
              <w:tr2bl w:val="nil"/>
            </w:tcBorders>
            <w:vAlign w:val="center"/>
          </w:tcPr>
          <w:p>
            <w:pPr>
              <w:spacing w:line="400" w:lineRule="atLeast"/>
              <w:jc w:val="center"/>
              <w:rPr>
                <w:rFonts w:ascii="宋体"/>
                <w:b/>
                <w:sz w:val="22"/>
                <w:szCs w:val="22"/>
              </w:rPr>
            </w:pPr>
            <w:r>
              <w:rPr>
                <w:rFonts w:hint="eastAsia" w:ascii="宋体" w:hAnsi="宋体"/>
                <w:b/>
                <w:sz w:val="22"/>
                <w:szCs w:val="22"/>
              </w:rPr>
              <w:t>各评分因素细分项</w:t>
            </w:r>
          </w:p>
        </w:tc>
        <w:tc>
          <w:tcPr>
            <w:tcW w:w="705" w:type="dxa"/>
            <w:tcBorders>
              <w:tl2br w:val="nil"/>
              <w:tr2bl w:val="nil"/>
            </w:tcBorders>
            <w:vAlign w:val="center"/>
          </w:tcPr>
          <w:p>
            <w:pPr>
              <w:spacing w:line="400" w:lineRule="atLeast"/>
              <w:jc w:val="center"/>
              <w:rPr>
                <w:rFonts w:ascii="宋体"/>
                <w:b/>
                <w:sz w:val="22"/>
                <w:szCs w:val="22"/>
              </w:rPr>
            </w:pPr>
            <w:r>
              <w:rPr>
                <w:rFonts w:hint="eastAsia" w:ascii="宋体" w:hAnsi="宋体"/>
                <w:b/>
                <w:sz w:val="22"/>
                <w:szCs w:val="22"/>
              </w:rPr>
              <w:t>分值</w:t>
            </w:r>
          </w:p>
        </w:tc>
        <w:tc>
          <w:tcPr>
            <w:tcW w:w="3763" w:type="dxa"/>
            <w:vMerge w:val="continue"/>
            <w:tcBorders>
              <w:tl2br w:val="nil"/>
              <w:tr2bl w:val="nil"/>
            </w:tcBorders>
            <w:vAlign w:val="center"/>
          </w:tcPr>
          <w:p>
            <w:pPr>
              <w:spacing w:line="400" w:lineRule="atLeast"/>
              <w:jc w:val="center"/>
              <w:rPr>
                <w:rFonts w:ascii="宋体"/>
                <w:b/>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23" w:type="dxa"/>
          <w:trHeight w:val="370" w:hRule="atLeast"/>
          <w:jc w:val="center"/>
        </w:trPr>
        <w:tc>
          <w:tcPr>
            <w:tcW w:w="692" w:type="dxa"/>
            <w:vMerge w:val="restart"/>
            <w:tcBorders>
              <w:tl2br w:val="nil"/>
              <w:tr2bl w:val="nil"/>
            </w:tcBorders>
            <w:vAlign w:val="center"/>
          </w:tcPr>
          <w:p>
            <w:pPr>
              <w:jc w:val="center"/>
              <w:rPr>
                <w:sz w:val="22"/>
                <w:szCs w:val="22"/>
              </w:rPr>
            </w:pPr>
            <w:r>
              <w:rPr>
                <w:sz w:val="22"/>
                <w:szCs w:val="22"/>
              </w:rPr>
              <w:t>2.2.4（1）</w:t>
            </w:r>
          </w:p>
        </w:tc>
        <w:tc>
          <w:tcPr>
            <w:tcW w:w="747" w:type="dxa"/>
            <w:vMerge w:val="restart"/>
            <w:tcBorders>
              <w:tl2br w:val="nil"/>
              <w:tr2bl w:val="nil"/>
            </w:tcBorders>
            <w:vAlign w:val="center"/>
          </w:tcPr>
          <w:p>
            <w:pPr>
              <w:spacing w:line="400" w:lineRule="atLeast"/>
              <w:jc w:val="center"/>
              <w:rPr>
                <w:rFonts w:ascii="宋体"/>
                <w:sz w:val="22"/>
                <w:szCs w:val="22"/>
              </w:rPr>
            </w:pPr>
            <w:r>
              <w:rPr>
                <w:rFonts w:hint="eastAsia" w:ascii="宋体" w:hAnsi="宋体"/>
                <w:sz w:val="22"/>
                <w:szCs w:val="22"/>
              </w:rPr>
              <w:t>技术建议书</w:t>
            </w:r>
          </w:p>
        </w:tc>
        <w:tc>
          <w:tcPr>
            <w:tcW w:w="899" w:type="dxa"/>
            <w:gridSpan w:val="2"/>
            <w:vMerge w:val="restart"/>
            <w:tcBorders>
              <w:tl2br w:val="nil"/>
              <w:tr2bl w:val="nil"/>
            </w:tcBorders>
            <w:vAlign w:val="center"/>
          </w:tcPr>
          <w:p>
            <w:pPr>
              <w:spacing w:line="400" w:lineRule="atLeast"/>
              <w:jc w:val="center"/>
              <w:rPr>
                <w:rFonts w:ascii="宋体"/>
                <w:sz w:val="22"/>
                <w:szCs w:val="22"/>
              </w:rPr>
            </w:pPr>
            <w:r>
              <w:rPr>
                <w:rFonts w:hint="eastAsia" w:ascii="宋体" w:hAnsi="宋体"/>
                <w:sz w:val="22"/>
                <w:szCs w:val="22"/>
              </w:rPr>
              <w:t>40分</w:t>
            </w:r>
          </w:p>
        </w:tc>
        <w:tc>
          <w:tcPr>
            <w:tcW w:w="2265" w:type="dxa"/>
            <w:gridSpan w:val="3"/>
            <w:tcBorders>
              <w:tl2br w:val="nil"/>
              <w:tr2bl w:val="nil"/>
            </w:tcBorders>
            <w:vAlign w:val="center"/>
          </w:tcPr>
          <w:p>
            <w:pPr>
              <w:ind w:right="113"/>
              <w:jc w:val="center"/>
              <w:rPr>
                <w:rFonts w:ascii="宋体"/>
                <w:sz w:val="22"/>
                <w:szCs w:val="22"/>
              </w:rPr>
            </w:pPr>
            <w:r>
              <w:rPr>
                <w:rFonts w:hint="eastAsia"/>
                <w:snapToGrid w:val="0"/>
                <w:sz w:val="22"/>
                <w:szCs w:val="22"/>
              </w:rPr>
              <w:t>对招标项目的理解和总体咨询思路</w:t>
            </w:r>
          </w:p>
        </w:tc>
        <w:tc>
          <w:tcPr>
            <w:tcW w:w="705" w:type="dxa"/>
            <w:tcBorders>
              <w:tl2br w:val="nil"/>
              <w:tr2bl w:val="nil"/>
            </w:tcBorders>
            <w:vAlign w:val="center"/>
          </w:tcPr>
          <w:p>
            <w:pPr>
              <w:jc w:val="center"/>
              <w:rPr>
                <w:rFonts w:ascii="宋体"/>
                <w:sz w:val="22"/>
                <w:szCs w:val="22"/>
              </w:rPr>
            </w:pPr>
            <w:r>
              <w:rPr>
                <w:rFonts w:ascii="宋体" w:hAnsi="宋体"/>
                <w:u w:val="single"/>
              </w:rPr>
              <w:t>10</w:t>
            </w:r>
            <w:r>
              <w:rPr>
                <w:rFonts w:ascii="宋体" w:hAnsi="宋体"/>
              </w:rPr>
              <w:t>分</w:t>
            </w:r>
          </w:p>
        </w:tc>
        <w:tc>
          <w:tcPr>
            <w:tcW w:w="3763" w:type="dxa"/>
            <w:tcBorders>
              <w:tl2br w:val="nil"/>
              <w:tr2bl w:val="nil"/>
            </w:tcBorders>
            <w:vAlign w:val="center"/>
          </w:tcPr>
          <w:p>
            <w:pPr>
              <w:snapToGrid w:val="0"/>
              <w:rPr>
                <w:rFonts w:ascii="宋体"/>
                <w:sz w:val="22"/>
                <w:szCs w:val="22"/>
              </w:rPr>
            </w:pPr>
            <w:r>
              <w:rPr>
                <w:rFonts w:ascii="宋体" w:hAnsi="宋体"/>
              </w:rPr>
              <w:t>基本分6分，对项目理解深入、细致，提供咨询方案翔实，总体工作思路清晰合理的加0～4分。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23" w:type="dxa"/>
          <w:trHeight w:val="39" w:hRule="atLeast"/>
          <w:jc w:val="center"/>
        </w:trPr>
        <w:tc>
          <w:tcPr>
            <w:tcW w:w="692" w:type="dxa"/>
            <w:vMerge w:val="continue"/>
            <w:tcBorders>
              <w:tl2br w:val="nil"/>
              <w:tr2bl w:val="nil"/>
            </w:tcBorders>
            <w:vAlign w:val="center"/>
          </w:tcPr>
          <w:p>
            <w:pPr>
              <w:jc w:val="center"/>
              <w:rPr>
                <w:sz w:val="22"/>
                <w:szCs w:val="22"/>
              </w:rPr>
            </w:pPr>
          </w:p>
        </w:tc>
        <w:tc>
          <w:tcPr>
            <w:tcW w:w="747" w:type="dxa"/>
            <w:vMerge w:val="continue"/>
            <w:tcBorders>
              <w:tl2br w:val="nil"/>
              <w:tr2bl w:val="nil"/>
            </w:tcBorders>
            <w:vAlign w:val="center"/>
          </w:tcPr>
          <w:p>
            <w:pPr>
              <w:spacing w:line="400" w:lineRule="atLeast"/>
              <w:jc w:val="center"/>
              <w:rPr>
                <w:rFonts w:ascii="宋体"/>
                <w:sz w:val="22"/>
                <w:szCs w:val="22"/>
              </w:rPr>
            </w:pPr>
          </w:p>
        </w:tc>
        <w:tc>
          <w:tcPr>
            <w:tcW w:w="899" w:type="dxa"/>
            <w:gridSpan w:val="2"/>
            <w:vMerge w:val="continue"/>
            <w:tcBorders>
              <w:tl2br w:val="nil"/>
              <w:tr2bl w:val="nil"/>
            </w:tcBorders>
            <w:vAlign w:val="center"/>
          </w:tcPr>
          <w:p>
            <w:pPr>
              <w:spacing w:line="400" w:lineRule="atLeast"/>
              <w:jc w:val="center"/>
              <w:rPr>
                <w:rFonts w:ascii="宋体"/>
                <w:sz w:val="22"/>
                <w:szCs w:val="22"/>
              </w:rPr>
            </w:pPr>
          </w:p>
        </w:tc>
        <w:tc>
          <w:tcPr>
            <w:tcW w:w="2265" w:type="dxa"/>
            <w:gridSpan w:val="3"/>
            <w:tcBorders>
              <w:tl2br w:val="nil"/>
              <w:tr2bl w:val="nil"/>
            </w:tcBorders>
            <w:vAlign w:val="center"/>
          </w:tcPr>
          <w:p>
            <w:pPr>
              <w:ind w:right="113"/>
              <w:jc w:val="center"/>
              <w:rPr>
                <w:rFonts w:ascii="宋体" w:cs="Arial"/>
                <w:snapToGrid w:val="0"/>
                <w:sz w:val="22"/>
                <w:szCs w:val="22"/>
              </w:rPr>
            </w:pPr>
            <w:r>
              <w:rPr>
                <w:rFonts w:hint="eastAsia" w:ascii="宋体" w:cs="Arial"/>
                <w:snapToGrid w:val="0"/>
                <w:sz w:val="22"/>
                <w:szCs w:val="22"/>
              </w:rPr>
              <w:t>设计咨询（含地勘</w:t>
            </w:r>
          </w:p>
          <w:p>
            <w:pPr>
              <w:ind w:right="113"/>
              <w:jc w:val="center"/>
              <w:rPr>
                <w:rFonts w:ascii="宋体" w:cs="Arial"/>
                <w:snapToGrid w:val="0"/>
                <w:sz w:val="22"/>
                <w:szCs w:val="22"/>
              </w:rPr>
            </w:pPr>
            <w:r>
              <w:rPr>
                <w:rFonts w:hint="eastAsia" w:ascii="宋体" w:cs="Arial"/>
                <w:snapToGrid w:val="0"/>
                <w:sz w:val="22"/>
                <w:szCs w:val="22"/>
              </w:rPr>
              <w:t>监理）工作方案</w:t>
            </w:r>
          </w:p>
        </w:tc>
        <w:tc>
          <w:tcPr>
            <w:tcW w:w="705" w:type="dxa"/>
            <w:tcBorders>
              <w:tl2br w:val="nil"/>
              <w:tr2bl w:val="nil"/>
            </w:tcBorders>
            <w:vAlign w:val="center"/>
          </w:tcPr>
          <w:p>
            <w:pPr>
              <w:jc w:val="center"/>
              <w:rPr>
                <w:rFonts w:ascii="宋体"/>
                <w:kern w:val="0"/>
                <w:sz w:val="22"/>
                <w:szCs w:val="22"/>
              </w:rPr>
            </w:pPr>
            <w:r>
              <w:rPr>
                <w:rFonts w:ascii="宋体" w:hAnsi="宋体"/>
                <w:u w:val="single"/>
              </w:rPr>
              <w:t>10</w:t>
            </w:r>
            <w:r>
              <w:rPr>
                <w:rFonts w:ascii="宋体" w:hAnsi="宋体"/>
              </w:rPr>
              <w:t>分</w:t>
            </w:r>
          </w:p>
        </w:tc>
        <w:tc>
          <w:tcPr>
            <w:tcW w:w="3763" w:type="dxa"/>
            <w:tcBorders>
              <w:tl2br w:val="nil"/>
              <w:tr2bl w:val="nil"/>
            </w:tcBorders>
            <w:vAlign w:val="center"/>
          </w:tcPr>
          <w:p>
            <w:pPr>
              <w:rPr>
                <w:rFonts w:ascii="宋体" w:cs="宋体"/>
                <w:kern w:val="0"/>
                <w:sz w:val="22"/>
                <w:szCs w:val="22"/>
              </w:rPr>
            </w:pPr>
            <w:r>
              <w:rPr>
                <w:rFonts w:ascii="宋体" w:hAnsi="宋体"/>
                <w:kern w:val="0"/>
              </w:rPr>
              <w:t>基本分6分，设计咨询工作方案</w:t>
            </w:r>
            <w:r>
              <w:rPr>
                <w:rFonts w:ascii="宋体" w:hAnsi="宋体"/>
              </w:rPr>
              <w:t>合理，满足工作要求的加0～4分。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23" w:type="dxa"/>
          <w:trHeight w:val="39" w:hRule="atLeast"/>
          <w:jc w:val="center"/>
        </w:trPr>
        <w:tc>
          <w:tcPr>
            <w:tcW w:w="692" w:type="dxa"/>
            <w:vMerge w:val="continue"/>
            <w:tcBorders>
              <w:tl2br w:val="nil"/>
              <w:tr2bl w:val="nil"/>
            </w:tcBorders>
            <w:vAlign w:val="center"/>
          </w:tcPr>
          <w:p>
            <w:pPr>
              <w:jc w:val="center"/>
              <w:rPr>
                <w:sz w:val="22"/>
                <w:szCs w:val="22"/>
              </w:rPr>
            </w:pPr>
          </w:p>
        </w:tc>
        <w:tc>
          <w:tcPr>
            <w:tcW w:w="747" w:type="dxa"/>
            <w:vMerge w:val="continue"/>
            <w:tcBorders>
              <w:tl2br w:val="nil"/>
              <w:tr2bl w:val="nil"/>
            </w:tcBorders>
            <w:vAlign w:val="center"/>
          </w:tcPr>
          <w:p>
            <w:pPr>
              <w:spacing w:line="400" w:lineRule="atLeast"/>
              <w:jc w:val="center"/>
              <w:rPr>
                <w:rFonts w:ascii="宋体"/>
                <w:sz w:val="22"/>
                <w:szCs w:val="22"/>
              </w:rPr>
            </w:pPr>
          </w:p>
        </w:tc>
        <w:tc>
          <w:tcPr>
            <w:tcW w:w="899" w:type="dxa"/>
            <w:gridSpan w:val="2"/>
            <w:vMerge w:val="continue"/>
            <w:tcBorders>
              <w:tl2br w:val="nil"/>
              <w:tr2bl w:val="nil"/>
            </w:tcBorders>
            <w:vAlign w:val="center"/>
          </w:tcPr>
          <w:p>
            <w:pPr>
              <w:spacing w:line="400" w:lineRule="atLeast"/>
              <w:jc w:val="center"/>
              <w:rPr>
                <w:rFonts w:ascii="宋体"/>
                <w:sz w:val="22"/>
                <w:szCs w:val="22"/>
              </w:rPr>
            </w:pPr>
          </w:p>
        </w:tc>
        <w:tc>
          <w:tcPr>
            <w:tcW w:w="2265" w:type="dxa"/>
            <w:gridSpan w:val="3"/>
            <w:tcBorders>
              <w:tl2br w:val="nil"/>
              <w:tr2bl w:val="nil"/>
            </w:tcBorders>
            <w:vAlign w:val="center"/>
          </w:tcPr>
          <w:p>
            <w:pPr>
              <w:snapToGrid w:val="0"/>
              <w:ind w:left="-63" w:leftChars="-90" w:right="-107" w:rightChars="-51" w:hanging="126"/>
              <w:jc w:val="center"/>
              <w:rPr>
                <w:rFonts w:ascii="宋体" w:hAnsi="宋体"/>
                <w:kern w:val="0"/>
              </w:rPr>
            </w:pPr>
            <w:r>
              <w:rPr>
                <w:rFonts w:ascii="宋体" w:hAnsi="宋体"/>
                <w:kern w:val="0"/>
              </w:rPr>
              <w:t>设计咨询</w:t>
            </w:r>
            <w:r>
              <w:rPr>
                <w:rFonts w:hint="eastAsia" w:ascii="宋体" w:hAnsi="宋体"/>
                <w:kern w:val="0"/>
              </w:rPr>
              <w:t>（含</w:t>
            </w:r>
            <w:r>
              <w:rPr>
                <w:rFonts w:ascii="宋体" w:hAnsi="宋体"/>
                <w:kern w:val="0"/>
              </w:rPr>
              <w:t>地勘</w:t>
            </w:r>
          </w:p>
          <w:p>
            <w:pPr>
              <w:snapToGrid w:val="0"/>
              <w:ind w:left="-63" w:leftChars="-90" w:right="-107" w:rightChars="-51" w:hanging="126"/>
              <w:jc w:val="center"/>
              <w:rPr>
                <w:rFonts w:ascii="宋体" w:cs="Arial"/>
                <w:snapToGrid w:val="0"/>
                <w:sz w:val="22"/>
                <w:szCs w:val="22"/>
              </w:rPr>
            </w:pPr>
            <w:r>
              <w:rPr>
                <w:rFonts w:ascii="宋体" w:hAnsi="宋体"/>
                <w:kern w:val="0"/>
              </w:rPr>
              <w:t>监理）工作</w:t>
            </w:r>
            <w:r>
              <w:rPr>
                <w:rFonts w:ascii="宋体" w:hAnsi="宋体"/>
                <w:snapToGrid w:val="0"/>
              </w:rPr>
              <w:t>内容</w:t>
            </w:r>
          </w:p>
        </w:tc>
        <w:tc>
          <w:tcPr>
            <w:tcW w:w="705" w:type="dxa"/>
            <w:tcBorders>
              <w:tl2br w:val="nil"/>
              <w:tr2bl w:val="nil"/>
            </w:tcBorders>
            <w:vAlign w:val="center"/>
          </w:tcPr>
          <w:p>
            <w:pPr>
              <w:jc w:val="center"/>
              <w:rPr>
                <w:rFonts w:ascii="宋体"/>
                <w:kern w:val="0"/>
                <w:sz w:val="22"/>
                <w:szCs w:val="22"/>
              </w:rPr>
            </w:pPr>
            <w:r>
              <w:rPr>
                <w:rFonts w:ascii="宋体" w:hAnsi="宋体"/>
                <w:u w:val="single"/>
              </w:rPr>
              <w:t>1</w:t>
            </w:r>
            <w:r>
              <w:rPr>
                <w:rFonts w:hint="eastAsia" w:ascii="宋体" w:hAnsi="宋体"/>
                <w:u w:val="single"/>
              </w:rPr>
              <w:t>5</w:t>
            </w:r>
            <w:r>
              <w:rPr>
                <w:rFonts w:ascii="宋体" w:hAnsi="宋体"/>
              </w:rPr>
              <w:t>分</w:t>
            </w:r>
          </w:p>
        </w:tc>
        <w:tc>
          <w:tcPr>
            <w:tcW w:w="3763" w:type="dxa"/>
            <w:tcBorders>
              <w:tl2br w:val="nil"/>
              <w:tr2bl w:val="nil"/>
            </w:tcBorders>
            <w:vAlign w:val="center"/>
          </w:tcPr>
          <w:p>
            <w:pPr>
              <w:rPr>
                <w:rFonts w:ascii="宋体" w:cs="宋体"/>
                <w:kern w:val="0"/>
                <w:sz w:val="22"/>
                <w:szCs w:val="22"/>
              </w:rPr>
            </w:pPr>
            <w:r>
              <w:rPr>
                <w:rFonts w:ascii="宋体" w:hAnsi="宋体"/>
              </w:rPr>
              <w:t>基本分</w:t>
            </w:r>
            <w:r>
              <w:rPr>
                <w:rFonts w:hint="eastAsia" w:ascii="宋体" w:hAnsi="宋体"/>
              </w:rPr>
              <w:t>9</w:t>
            </w:r>
            <w:r>
              <w:rPr>
                <w:rFonts w:ascii="宋体" w:hAnsi="宋体"/>
              </w:rPr>
              <w:t>分，设计咨询</w:t>
            </w:r>
            <w:r>
              <w:rPr>
                <w:rFonts w:ascii="宋体" w:hAnsi="宋体"/>
                <w:snapToGrid w:val="0"/>
              </w:rPr>
              <w:t>工作内容翔实，满足工作要求的</w:t>
            </w:r>
            <w:r>
              <w:rPr>
                <w:rFonts w:ascii="宋体" w:hAnsi="宋体"/>
              </w:rPr>
              <w:t>加0～</w:t>
            </w:r>
            <w:r>
              <w:rPr>
                <w:rFonts w:hint="eastAsia" w:ascii="宋体" w:hAnsi="宋体"/>
              </w:rPr>
              <w:t>6</w:t>
            </w:r>
            <w:r>
              <w:rPr>
                <w:rFonts w:ascii="宋体" w:hAnsi="宋体"/>
              </w:rPr>
              <w:t>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23" w:type="dxa"/>
          <w:trHeight w:val="39" w:hRule="atLeast"/>
          <w:jc w:val="center"/>
        </w:trPr>
        <w:tc>
          <w:tcPr>
            <w:tcW w:w="692" w:type="dxa"/>
            <w:vMerge w:val="continue"/>
            <w:tcBorders>
              <w:tl2br w:val="nil"/>
              <w:tr2bl w:val="nil"/>
            </w:tcBorders>
            <w:vAlign w:val="center"/>
          </w:tcPr>
          <w:p>
            <w:pPr>
              <w:jc w:val="center"/>
              <w:rPr>
                <w:sz w:val="22"/>
                <w:szCs w:val="22"/>
              </w:rPr>
            </w:pPr>
          </w:p>
        </w:tc>
        <w:tc>
          <w:tcPr>
            <w:tcW w:w="747" w:type="dxa"/>
            <w:vMerge w:val="continue"/>
            <w:tcBorders>
              <w:tl2br w:val="nil"/>
              <w:tr2bl w:val="nil"/>
            </w:tcBorders>
            <w:vAlign w:val="center"/>
          </w:tcPr>
          <w:p>
            <w:pPr>
              <w:spacing w:line="400" w:lineRule="atLeast"/>
              <w:jc w:val="center"/>
              <w:rPr>
                <w:rFonts w:ascii="宋体"/>
                <w:sz w:val="22"/>
                <w:szCs w:val="22"/>
              </w:rPr>
            </w:pPr>
          </w:p>
        </w:tc>
        <w:tc>
          <w:tcPr>
            <w:tcW w:w="899" w:type="dxa"/>
            <w:gridSpan w:val="2"/>
            <w:vMerge w:val="continue"/>
            <w:tcBorders>
              <w:tl2br w:val="nil"/>
              <w:tr2bl w:val="nil"/>
            </w:tcBorders>
            <w:vAlign w:val="center"/>
          </w:tcPr>
          <w:p>
            <w:pPr>
              <w:spacing w:line="400" w:lineRule="atLeast"/>
              <w:jc w:val="center"/>
              <w:rPr>
                <w:rFonts w:ascii="宋体"/>
                <w:sz w:val="22"/>
                <w:szCs w:val="22"/>
              </w:rPr>
            </w:pPr>
          </w:p>
        </w:tc>
        <w:tc>
          <w:tcPr>
            <w:tcW w:w="2265" w:type="dxa"/>
            <w:gridSpan w:val="3"/>
            <w:tcBorders>
              <w:tl2br w:val="nil"/>
              <w:tr2bl w:val="nil"/>
            </w:tcBorders>
            <w:vAlign w:val="center"/>
          </w:tcPr>
          <w:p>
            <w:pPr>
              <w:snapToGrid w:val="0"/>
              <w:ind w:left="21" w:leftChars="-50" w:right="-105" w:rightChars="-50" w:hanging="126" w:hangingChars="60"/>
              <w:jc w:val="center"/>
              <w:rPr>
                <w:rFonts w:ascii="宋体" w:hAnsi="宋体"/>
                <w:kern w:val="0"/>
              </w:rPr>
            </w:pPr>
            <w:r>
              <w:rPr>
                <w:rFonts w:ascii="宋体" w:hAnsi="宋体"/>
                <w:kern w:val="0"/>
              </w:rPr>
              <w:t>设计咨询组织机构</w:t>
            </w:r>
          </w:p>
          <w:p>
            <w:pPr>
              <w:snapToGrid w:val="0"/>
              <w:ind w:left="21" w:leftChars="-50" w:right="-105" w:rightChars="-50" w:hanging="126" w:hangingChars="60"/>
              <w:jc w:val="center"/>
              <w:rPr>
                <w:rFonts w:ascii="宋体"/>
                <w:kern w:val="0"/>
                <w:sz w:val="22"/>
                <w:szCs w:val="22"/>
              </w:rPr>
            </w:pPr>
            <w:r>
              <w:rPr>
                <w:rFonts w:ascii="宋体" w:hAnsi="宋体"/>
                <w:kern w:val="0"/>
              </w:rPr>
              <w:t>及质量保证措施</w:t>
            </w:r>
          </w:p>
        </w:tc>
        <w:tc>
          <w:tcPr>
            <w:tcW w:w="705" w:type="dxa"/>
            <w:tcBorders>
              <w:tl2br w:val="nil"/>
              <w:tr2bl w:val="nil"/>
            </w:tcBorders>
            <w:vAlign w:val="center"/>
          </w:tcPr>
          <w:p>
            <w:pPr>
              <w:rPr>
                <w:rFonts w:ascii="宋体"/>
                <w:kern w:val="0"/>
                <w:sz w:val="22"/>
                <w:szCs w:val="22"/>
              </w:rPr>
            </w:pPr>
            <w:r>
              <w:rPr>
                <w:rFonts w:ascii="宋体" w:hAnsi="宋体"/>
                <w:u w:val="single"/>
              </w:rPr>
              <w:t>5</w:t>
            </w:r>
            <w:r>
              <w:rPr>
                <w:rFonts w:ascii="宋体" w:hAnsi="宋体"/>
              </w:rPr>
              <w:t>分</w:t>
            </w:r>
          </w:p>
        </w:tc>
        <w:tc>
          <w:tcPr>
            <w:tcW w:w="3763" w:type="dxa"/>
            <w:tcBorders>
              <w:tl2br w:val="nil"/>
              <w:tr2bl w:val="nil"/>
            </w:tcBorders>
            <w:vAlign w:val="center"/>
          </w:tcPr>
          <w:p>
            <w:pPr>
              <w:rPr>
                <w:rFonts w:ascii="宋体" w:cs="宋体"/>
                <w:kern w:val="0"/>
                <w:sz w:val="22"/>
                <w:szCs w:val="22"/>
              </w:rPr>
            </w:pPr>
            <w:r>
              <w:rPr>
                <w:rFonts w:ascii="宋体" w:hAnsi="宋体"/>
              </w:rPr>
              <w:t>基本分3分，</w:t>
            </w:r>
            <w:r>
              <w:rPr>
                <w:rFonts w:ascii="宋体" w:hAnsi="宋体"/>
                <w:kern w:val="0"/>
              </w:rPr>
              <w:t>设计咨询项目组织机构和质量保证措施</w:t>
            </w:r>
            <w:r>
              <w:rPr>
                <w:rFonts w:ascii="宋体" w:hAnsi="宋体"/>
                <w:snapToGrid w:val="0"/>
              </w:rPr>
              <w:t>满足工作要求的</w:t>
            </w:r>
            <w:r>
              <w:rPr>
                <w:rFonts w:ascii="宋体" w:hAnsi="宋体"/>
              </w:rPr>
              <w:t>加0～2分。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23" w:type="dxa"/>
          <w:trHeight w:val="39" w:hRule="atLeast"/>
          <w:jc w:val="center"/>
        </w:trPr>
        <w:tc>
          <w:tcPr>
            <w:tcW w:w="692" w:type="dxa"/>
            <w:tcBorders>
              <w:tl2br w:val="nil"/>
              <w:tr2bl w:val="nil"/>
            </w:tcBorders>
            <w:vAlign w:val="center"/>
          </w:tcPr>
          <w:p>
            <w:pPr>
              <w:jc w:val="center"/>
              <w:rPr>
                <w:sz w:val="22"/>
                <w:szCs w:val="22"/>
              </w:rPr>
            </w:pPr>
            <w:r>
              <w:rPr>
                <w:sz w:val="22"/>
                <w:szCs w:val="22"/>
              </w:rPr>
              <w:t>2.2.4（2）</w:t>
            </w:r>
          </w:p>
        </w:tc>
        <w:tc>
          <w:tcPr>
            <w:tcW w:w="747" w:type="dxa"/>
            <w:tcBorders>
              <w:tl2br w:val="nil"/>
              <w:tr2bl w:val="nil"/>
            </w:tcBorders>
            <w:vAlign w:val="center"/>
          </w:tcPr>
          <w:p>
            <w:pPr>
              <w:spacing w:line="400" w:lineRule="atLeast"/>
              <w:jc w:val="center"/>
              <w:rPr>
                <w:rFonts w:ascii="宋体"/>
                <w:sz w:val="22"/>
                <w:szCs w:val="22"/>
              </w:rPr>
            </w:pPr>
            <w:r>
              <w:rPr>
                <w:rFonts w:hint="eastAsia" w:ascii="宋体" w:hAnsi="宋体"/>
                <w:sz w:val="22"/>
                <w:szCs w:val="22"/>
              </w:rPr>
              <w:t>主要人员</w:t>
            </w:r>
          </w:p>
        </w:tc>
        <w:tc>
          <w:tcPr>
            <w:tcW w:w="899" w:type="dxa"/>
            <w:gridSpan w:val="2"/>
            <w:tcBorders>
              <w:tl2br w:val="nil"/>
              <w:tr2bl w:val="nil"/>
            </w:tcBorders>
            <w:vAlign w:val="center"/>
          </w:tcPr>
          <w:p>
            <w:pPr>
              <w:spacing w:line="400" w:lineRule="atLeast"/>
              <w:jc w:val="center"/>
              <w:rPr>
                <w:rFonts w:ascii="宋体"/>
                <w:sz w:val="22"/>
                <w:szCs w:val="22"/>
              </w:rPr>
            </w:pPr>
            <w:r>
              <w:rPr>
                <w:rFonts w:hint="eastAsia" w:ascii="宋体" w:hAnsi="宋体"/>
                <w:sz w:val="22"/>
                <w:szCs w:val="22"/>
              </w:rPr>
              <w:t>20分</w:t>
            </w:r>
          </w:p>
        </w:tc>
        <w:tc>
          <w:tcPr>
            <w:tcW w:w="2265" w:type="dxa"/>
            <w:gridSpan w:val="3"/>
            <w:tcBorders>
              <w:tl2br w:val="nil"/>
              <w:tr2bl w:val="nil"/>
            </w:tcBorders>
            <w:vAlign w:val="center"/>
          </w:tcPr>
          <w:p>
            <w:pPr>
              <w:ind w:right="113"/>
              <w:jc w:val="center"/>
              <w:rPr>
                <w:rFonts w:ascii="宋体"/>
                <w:sz w:val="22"/>
                <w:szCs w:val="22"/>
              </w:rPr>
            </w:pPr>
            <w:r>
              <w:rPr>
                <w:sz w:val="22"/>
                <w:szCs w:val="22"/>
              </w:rPr>
              <w:t>项目</w:t>
            </w:r>
            <w:r>
              <w:rPr>
                <w:rFonts w:hint="eastAsia"/>
                <w:sz w:val="22"/>
                <w:szCs w:val="22"/>
              </w:rPr>
              <w:t>负责人</w:t>
            </w:r>
            <w:r>
              <w:rPr>
                <w:sz w:val="22"/>
                <w:szCs w:val="22"/>
              </w:rPr>
              <w:t>任职资格与业绩</w:t>
            </w:r>
          </w:p>
        </w:tc>
        <w:tc>
          <w:tcPr>
            <w:tcW w:w="705" w:type="dxa"/>
            <w:tcBorders>
              <w:tl2br w:val="nil"/>
              <w:tr2bl w:val="nil"/>
            </w:tcBorders>
            <w:vAlign w:val="center"/>
          </w:tcPr>
          <w:p>
            <w:pPr>
              <w:jc w:val="center"/>
              <w:rPr>
                <w:rFonts w:ascii="宋体"/>
                <w:sz w:val="22"/>
                <w:szCs w:val="22"/>
              </w:rPr>
            </w:pPr>
            <w:r>
              <w:rPr>
                <w:rFonts w:hint="eastAsia" w:ascii="宋体" w:hAnsi="宋体"/>
                <w:sz w:val="22"/>
                <w:szCs w:val="22"/>
              </w:rPr>
              <w:t>20分</w:t>
            </w:r>
          </w:p>
        </w:tc>
        <w:tc>
          <w:tcPr>
            <w:tcW w:w="3763" w:type="dxa"/>
            <w:tcBorders>
              <w:tl2br w:val="nil"/>
              <w:tr2bl w:val="nil"/>
            </w:tcBorders>
            <w:vAlign w:val="center"/>
          </w:tcPr>
          <w:p>
            <w:pPr>
              <w:snapToGrid w:val="0"/>
              <w:rPr>
                <w:rFonts w:ascii="宋体" w:hAnsi="宋体"/>
                <w:sz w:val="22"/>
                <w:szCs w:val="22"/>
              </w:rPr>
            </w:pPr>
            <w:r>
              <w:rPr>
                <w:rFonts w:ascii="宋体" w:hAnsi="宋体"/>
                <w:sz w:val="22"/>
                <w:szCs w:val="22"/>
              </w:rPr>
              <w:t>1.</w:t>
            </w:r>
            <w:r>
              <w:rPr>
                <w:rFonts w:hint="eastAsia" w:ascii="宋体" w:hAnsi="宋体"/>
                <w:sz w:val="22"/>
                <w:szCs w:val="22"/>
              </w:rPr>
              <w:t xml:space="preserve"> 满足资格审查条件</w:t>
            </w:r>
            <w:r>
              <w:rPr>
                <w:rFonts w:hint="eastAsia" w:ascii="宋体" w:hAnsi="宋体"/>
                <w:kern w:val="0"/>
                <w:sz w:val="22"/>
                <w:szCs w:val="22"/>
              </w:rPr>
              <w:t>项目负责人</w:t>
            </w:r>
            <w:r>
              <w:rPr>
                <w:rFonts w:ascii="宋体" w:hAnsi="宋体"/>
                <w:kern w:val="0"/>
                <w:sz w:val="22"/>
                <w:szCs w:val="22"/>
              </w:rPr>
              <w:t>最低要求</w:t>
            </w:r>
            <w:r>
              <w:rPr>
                <w:rFonts w:hint="eastAsia" w:ascii="宋体" w:hAnsi="宋体"/>
                <w:sz w:val="22"/>
                <w:szCs w:val="22"/>
              </w:rPr>
              <w:t>得12分</w:t>
            </w:r>
            <w:r>
              <w:rPr>
                <w:rFonts w:ascii="宋体" w:hAnsi="宋体"/>
                <w:sz w:val="22"/>
                <w:szCs w:val="22"/>
              </w:rPr>
              <w:t>。</w:t>
            </w:r>
          </w:p>
          <w:p>
            <w:pPr>
              <w:snapToGrid w:val="0"/>
              <w:ind w:left="1"/>
              <w:rPr>
                <w:rFonts w:ascii="宋体" w:hAnsi="宋体"/>
                <w:sz w:val="22"/>
                <w:szCs w:val="22"/>
              </w:rPr>
            </w:pPr>
            <w:r>
              <w:rPr>
                <w:rFonts w:ascii="宋体" w:hAnsi="宋体"/>
                <w:sz w:val="22"/>
                <w:szCs w:val="22"/>
              </w:rPr>
              <w:t>2.近5年每增加1条</w:t>
            </w:r>
            <w:r>
              <w:rPr>
                <w:rFonts w:hint="eastAsia"/>
                <w:sz w:val="22"/>
                <w:szCs w:val="22"/>
              </w:rPr>
              <w:t>里程不少于50公里的</w:t>
            </w:r>
            <w:r>
              <w:rPr>
                <w:rFonts w:ascii="宋体" w:hAnsi="宋体"/>
                <w:sz w:val="22"/>
                <w:szCs w:val="22"/>
              </w:rPr>
              <w:t>高速公路</w:t>
            </w:r>
            <w:r>
              <w:rPr>
                <w:rFonts w:hint="eastAsia"/>
                <w:sz w:val="22"/>
                <w:szCs w:val="22"/>
              </w:rPr>
              <w:t>新建或改扩建工程</w:t>
            </w:r>
            <w:r>
              <w:rPr>
                <w:rFonts w:ascii="宋体" w:hAnsi="宋体"/>
                <w:sz w:val="22"/>
                <w:szCs w:val="22"/>
              </w:rPr>
              <w:t>勘察设计或设计咨询项目负责人业绩加</w:t>
            </w:r>
            <w:r>
              <w:rPr>
                <w:rFonts w:hint="eastAsia" w:ascii="宋体" w:hAnsi="宋体"/>
                <w:sz w:val="22"/>
                <w:szCs w:val="22"/>
              </w:rPr>
              <w:t>3</w:t>
            </w:r>
            <w:r>
              <w:rPr>
                <w:rFonts w:ascii="宋体" w:hAnsi="宋体"/>
                <w:sz w:val="22"/>
                <w:szCs w:val="22"/>
              </w:rPr>
              <w:t>分，满分</w:t>
            </w:r>
            <w:r>
              <w:rPr>
                <w:rFonts w:hint="eastAsia" w:ascii="宋体" w:hAnsi="宋体"/>
                <w:sz w:val="22"/>
                <w:szCs w:val="22"/>
              </w:rPr>
              <w:t>6</w:t>
            </w:r>
            <w:r>
              <w:rPr>
                <w:rFonts w:ascii="宋体" w:hAnsi="宋体"/>
                <w:sz w:val="22"/>
                <w:szCs w:val="22"/>
              </w:rPr>
              <w:t>分。</w:t>
            </w:r>
          </w:p>
          <w:p>
            <w:pPr>
              <w:rPr>
                <w:rFonts w:ascii="宋体"/>
                <w:sz w:val="22"/>
                <w:szCs w:val="22"/>
              </w:rPr>
            </w:pPr>
            <w:r>
              <w:rPr>
                <w:rFonts w:ascii="宋体" w:hAnsi="宋体"/>
                <w:sz w:val="22"/>
                <w:szCs w:val="22"/>
              </w:rPr>
              <w:t>3.</w:t>
            </w:r>
            <w:r>
              <w:rPr>
                <w:rFonts w:ascii="宋体" w:hAnsi="宋体"/>
              </w:rPr>
              <w:t>获得</w:t>
            </w:r>
            <w:r>
              <w:rPr>
                <w:rFonts w:hint="eastAsia" w:ascii="宋体" w:hAnsi="宋体"/>
              </w:rPr>
              <w:t>省级及以上行政主管部门颁发的“工程勘察设计大师”称号的</w:t>
            </w:r>
            <w:r>
              <w:rPr>
                <w:rFonts w:hint="eastAsia" w:ascii="宋体" w:hAnsi="宋体"/>
                <w:sz w:val="22"/>
                <w:szCs w:val="22"/>
              </w:rPr>
              <w:t>加2分；最多加2分。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23" w:type="dxa"/>
          <w:cantSplit/>
          <w:trHeight w:val="2696" w:hRule="atLeast"/>
          <w:jc w:val="center"/>
        </w:trPr>
        <w:tc>
          <w:tcPr>
            <w:tcW w:w="692" w:type="dxa"/>
            <w:tcBorders>
              <w:tl2br w:val="nil"/>
              <w:tr2bl w:val="nil"/>
            </w:tcBorders>
            <w:vAlign w:val="center"/>
          </w:tcPr>
          <w:p>
            <w:pPr>
              <w:jc w:val="center"/>
              <w:rPr>
                <w:sz w:val="22"/>
                <w:szCs w:val="22"/>
              </w:rPr>
            </w:pPr>
            <w:r>
              <w:rPr>
                <w:sz w:val="22"/>
                <w:szCs w:val="22"/>
              </w:rPr>
              <w:t>2.2.4（3）</w:t>
            </w:r>
          </w:p>
        </w:tc>
        <w:tc>
          <w:tcPr>
            <w:tcW w:w="747" w:type="dxa"/>
            <w:tcBorders>
              <w:tl2br w:val="nil"/>
              <w:tr2bl w:val="nil"/>
            </w:tcBorders>
            <w:vAlign w:val="center"/>
          </w:tcPr>
          <w:p>
            <w:pPr>
              <w:spacing w:line="400" w:lineRule="atLeast"/>
              <w:jc w:val="center"/>
              <w:rPr>
                <w:rFonts w:ascii="宋体" w:hAnsi="宋体"/>
                <w:sz w:val="22"/>
                <w:szCs w:val="22"/>
              </w:rPr>
            </w:pPr>
            <w:r>
              <w:rPr>
                <w:rFonts w:hint="eastAsia" w:ascii="宋体" w:hAnsi="宋体"/>
                <w:sz w:val="22"/>
                <w:szCs w:val="22"/>
              </w:rPr>
              <w:t>评标价</w:t>
            </w:r>
          </w:p>
        </w:tc>
        <w:tc>
          <w:tcPr>
            <w:tcW w:w="899" w:type="dxa"/>
            <w:gridSpan w:val="2"/>
            <w:tcBorders>
              <w:tl2br w:val="nil"/>
              <w:tr2bl w:val="nil"/>
            </w:tcBorders>
            <w:vAlign w:val="center"/>
          </w:tcPr>
          <w:p>
            <w:pPr>
              <w:spacing w:line="400" w:lineRule="atLeast"/>
              <w:jc w:val="center"/>
              <w:rPr>
                <w:rFonts w:ascii="宋体" w:hAnsi="宋体"/>
                <w:sz w:val="22"/>
                <w:szCs w:val="22"/>
              </w:rPr>
            </w:pPr>
            <w:r>
              <w:rPr>
                <w:rFonts w:ascii="宋体" w:hAnsi="宋体"/>
                <w:sz w:val="22"/>
                <w:szCs w:val="22"/>
                <w:u w:val="single"/>
              </w:rPr>
              <w:t>10</w:t>
            </w:r>
            <w:r>
              <w:rPr>
                <w:rFonts w:hint="eastAsia" w:ascii="宋体" w:hAnsi="宋体"/>
                <w:sz w:val="22"/>
                <w:szCs w:val="22"/>
              </w:rPr>
              <w:t>分</w:t>
            </w:r>
          </w:p>
        </w:tc>
        <w:tc>
          <w:tcPr>
            <w:tcW w:w="6733" w:type="dxa"/>
            <w:gridSpan w:val="5"/>
            <w:tcBorders>
              <w:tl2br w:val="nil"/>
              <w:tr2bl w:val="nil"/>
            </w:tcBorders>
            <w:vAlign w:val="center"/>
          </w:tcPr>
          <w:p>
            <w:pPr>
              <w:adjustRightInd w:val="0"/>
              <w:ind w:firstLine="210" w:firstLineChars="100"/>
              <w:jc w:val="left"/>
              <w:rPr>
                <w:rFonts w:ascii="宋体" w:hAnsi="宋体"/>
              </w:rPr>
            </w:pPr>
            <w:r>
              <w:rPr>
                <w:rFonts w:ascii="宋体" w:hAnsi="宋体"/>
              </w:rPr>
              <w:t>评标价得分计算：</w:t>
            </w:r>
          </w:p>
          <w:p>
            <w:pPr>
              <w:widowControl/>
              <w:ind w:firstLine="210"/>
              <w:jc w:val="left"/>
              <w:rPr>
                <w:rFonts w:ascii="宋体" w:hAnsi="宋体"/>
              </w:rPr>
            </w:pPr>
            <w:r>
              <w:rPr>
                <w:rFonts w:hint="eastAsia" w:ascii="宋体" w:hAnsi="宋体"/>
              </w:rPr>
              <w:t>（1）如果投标人的投标报价＞评标基准价，则</w:t>
            </w:r>
            <w:r>
              <w:rPr>
                <w:rFonts w:ascii="宋体" w:hAnsi="宋体"/>
              </w:rPr>
              <w:t>评标价得分＝F－</w:t>
            </w:r>
            <w:r>
              <w:rPr>
                <w:rFonts w:hint="eastAsia" w:ascii="宋体" w:hAnsi="宋体"/>
              </w:rPr>
              <w:t>偏差率×</w:t>
            </w:r>
            <w:r>
              <w:rPr>
                <w:rFonts w:ascii="宋体" w:hAnsi="宋体"/>
              </w:rPr>
              <w:t>100</w:t>
            </w:r>
            <w:r>
              <w:rPr>
                <w:rFonts w:hint="eastAsia" w:ascii="宋体" w:hAnsi="宋体"/>
              </w:rPr>
              <w:t>×</w:t>
            </w:r>
            <w:r>
              <w:rPr>
                <w:rFonts w:ascii="宋体" w:hAnsi="宋体"/>
              </w:rPr>
              <w:t>E1</w:t>
            </w:r>
          </w:p>
          <w:p>
            <w:pPr>
              <w:widowControl/>
              <w:ind w:firstLine="210"/>
              <w:jc w:val="left"/>
              <w:rPr>
                <w:rFonts w:ascii="宋体" w:hAnsi="宋体"/>
              </w:rPr>
            </w:pPr>
            <w:r>
              <w:rPr>
                <w:rFonts w:hint="eastAsia" w:ascii="宋体" w:hAnsi="宋体"/>
              </w:rPr>
              <w:t>（</w:t>
            </w:r>
            <w:r>
              <w:rPr>
                <w:rFonts w:ascii="宋体" w:hAnsi="宋体"/>
              </w:rPr>
              <w:t>2</w:t>
            </w:r>
            <w:r>
              <w:rPr>
                <w:rFonts w:hint="eastAsia" w:ascii="宋体" w:hAnsi="宋体"/>
              </w:rPr>
              <w:t>）如果投标人的投标报价≤评标基准价，则</w:t>
            </w:r>
            <w:r>
              <w:rPr>
                <w:rFonts w:ascii="宋体" w:hAnsi="宋体"/>
              </w:rPr>
              <w:t>评标价得分＝F+</w:t>
            </w:r>
            <w:r>
              <w:rPr>
                <w:rFonts w:hint="eastAsia" w:ascii="宋体" w:hAnsi="宋体"/>
              </w:rPr>
              <w:t>偏差率×</w:t>
            </w:r>
            <w:r>
              <w:rPr>
                <w:rFonts w:ascii="宋体" w:hAnsi="宋体"/>
              </w:rPr>
              <w:t>100</w:t>
            </w:r>
            <w:r>
              <w:rPr>
                <w:rFonts w:hint="eastAsia" w:ascii="宋体" w:hAnsi="宋体"/>
              </w:rPr>
              <w:t>×</w:t>
            </w:r>
            <w:r>
              <w:rPr>
                <w:rFonts w:ascii="宋体" w:hAnsi="宋体"/>
              </w:rPr>
              <w:t>E2</w:t>
            </w:r>
          </w:p>
          <w:p>
            <w:pPr>
              <w:snapToGrid w:val="0"/>
              <w:ind w:firstLine="420" w:firstLineChars="200"/>
              <w:rPr>
                <w:rFonts w:ascii="宋体"/>
                <w:sz w:val="22"/>
                <w:szCs w:val="22"/>
              </w:rPr>
            </w:pPr>
            <w:r>
              <w:rPr>
                <w:rFonts w:ascii="宋体" w:hAnsi="宋体"/>
              </w:rPr>
              <w:t>其中</w:t>
            </w:r>
            <w:r>
              <w:rPr>
                <w:rFonts w:hint="eastAsia" w:ascii="宋体" w:hAnsi="宋体"/>
              </w:rPr>
              <w:t>：</w:t>
            </w:r>
            <w:r>
              <w:rPr>
                <w:rFonts w:ascii="宋体" w:hAnsi="宋体"/>
              </w:rPr>
              <w:t>F</w:t>
            </w:r>
            <w:r>
              <w:rPr>
                <w:rFonts w:hint="eastAsia" w:ascii="宋体" w:hAnsi="宋体"/>
              </w:rPr>
              <w:t>是评标价所占的权重分值，E</w:t>
            </w:r>
            <w:r>
              <w:rPr>
                <w:rFonts w:ascii="宋体" w:hAnsi="宋体"/>
              </w:rPr>
              <w:t>1</w:t>
            </w:r>
            <w:r>
              <w:rPr>
                <w:rFonts w:hint="eastAsia" w:ascii="宋体" w:hAnsi="宋体"/>
              </w:rPr>
              <w:t>是评标价每高于评标基准价一个百分点的扣分值，E</w:t>
            </w:r>
            <w:r>
              <w:rPr>
                <w:rFonts w:ascii="宋体" w:hAnsi="宋体"/>
              </w:rPr>
              <w:t>2</w:t>
            </w:r>
            <w:r>
              <w:rPr>
                <w:rFonts w:hint="eastAsia" w:ascii="宋体" w:hAnsi="宋体"/>
              </w:rPr>
              <w:t>是评标价每低于评标基准价一个百分点的扣分值，F</w:t>
            </w:r>
            <w:r>
              <w:rPr>
                <w:rFonts w:ascii="宋体" w:hAnsi="宋体"/>
              </w:rPr>
              <w:t>=10</w:t>
            </w:r>
            <w:r>
              <w:rPr>
                <w:rFonts w:hint="eastAsia" w:ascii="宋体" w:hAnsi="宋体"/>
              </w:rPr>
              <w:t>，</w:t>
            </w:r>
            <w:r>
              <w:rPr>
                <w:rFonts w:ascii="宋体" w:hAnsi="宋体"/>
              </w:rPr>
              <w:t>E1</w:t>
            </w:r>
            <w:r>
              <w:rPr>
                <w:rFonts w:hint="eastAsia" w:ascii="宋体" w:hAnsi="宋体"/>
              </w:rPr>
              <w:t>=</w:t>
            </w:r>
            <w:r>
              <w:rPr>
                <w:rFonts w:ascii="宋体" w:hAnsi="宋体"/>
              </w:rPr>
              <w:t>0.2  E2</w:t>
            </w:r>
            <w:r>
              <w:rPr>
                <w:rFonts w:hint="eastAsia" w:ascii="宋体" w:hAnsi="宋体"/>
              </w:rPr>
              <w:t>=</w:t>
            </w:r>
            <w:r>
              <w:rPr>
                <w:rFonts w:ascii="宋体" w:hAnsi="宋体"/>
              </w:rPr>
              <w:t>0.1</w:t>
            </w:r>
            <w:r>
              <w:rPr>
                <w:rFonts w:hint="eastAsia" w:ascii="宋体" w:hAnsi="宋体"/>
              </w:rPr>
              <w:t>，评标价得分最低为0分，评标价得分保留小数点后两位，小数点后第三位四舍五入</w:t>
            </w:r>
            <w:r>
              <w:rPr>
                <w:rFonts w:ascii="宋体" w:hAnsi="宋体"/>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92" w:type="dxa"/>
            <w:vMerge w:val="restart"/>
            <w:tcBorders>
              <w:tl2br w:val="nil"/>
              <w:tr2bl w:val="nil"/>
            </w:tcBorders>
            <w:vAlign w:val="center"/>
          </w:tcPr>
          <w:p>
            <w:pPr>
              <w:jc w:val="center"/>
              <w:rPr>
                <w:sz w:val="22"/>
                <w:szCs w:val="22"/>
              </w:rPr>
            </w:pPr>
            <w:r>
              <w:rPr>
                <w:sz w:val="22"/>
                <w:szCs w:val="22"/>
              </w:rPr>
              <w:t>2.2.4（4）</w:t>
            </w:r>
          </w:p>
        </w:tc>
        <w:tc>
          <w:tcPr>
            <w:tcW w:w="747" w:type="dxa"/>
            <w:vMerge w:val="restart"/>
            <w:tcBorders>
              <w:tl2br w:val="nil"/>
              <w:tr2bl w:val="nil"/>
            </w:tcBorders>
            <w:vAlign w:val="center"/>
          </w:tcPr>
          <w:p>
            <w:pPr>
              <w:jc w:val="center"/>
              <w:rPr>
                <w:rFonts w:ascii="宋体"/>
                <w:sz w:val="22"/>
                <w:szCs w:val="22"/>
              </w:rPr>
            </w:pPr>
            <w:r>
              <w:rPr>
                <w:rFonts w:hint="eastAsia" w:ascii="宋体" w:hAnsi="宋体"/>
                <w:sz w:val="22"/>
                <w:szCs w:val="22"/>
              </w:rPr>
              <w:t>其他因素</w:t>
            </w:r>
          </w:p>
        </w:tc>
        <w:tc>
          <w:tcPr>
            <w:tcW w:w="434" w:type="dxa"/>
            <w:tcBorders>
              <w:tl2br w:val="nil"/>
              <w:tr2bl w:val="nil"/>
            </w:tcBorders>
            <w:vAlign w:val="center"/>
          </w:tcPr>
          <w:p>
            <w:pPr>
              <w:jc w:val="center"/>
              <w:rPr>
                <w:rFonts w:ascii="宋体"/>
                <w:sz w:val="22"/>
                <w:szCs w:val="22"/>
              </w:rPr>
            </w:pPr>
            <w:r>
              <w:rPr>
                <w:rFonts w:hint="eastAsia" w:ascii="宋体" w:hAnsi="宋体"/>
                <w:sz w:val="22"/>
                <w:szCs w:val="22"/>
              </w:rPr>
              <w:t>业绩</w:t>
            </w:r>
          </w:p>
        </w:tc>
        <w:tc>
          <w:tcPr>
            <w:tcW w:w="465" w:type="dxa"/>
            <w:tcBorders>
              <w:tl2br w:val="nil"/>
              <w:tr2bl w:val="nil"/>
            </w:tcBorders>
            <w:vAlign w:val="center"/>
          </w:tcPr>
          <w:p>
            <w:pPr>
              <w:jc w:val="center"/>
              <w:rPr>
                <w:rFonts w:ascii="宋体"/>
                <w:sz w:val="22"/>
                <w:szCs w:val="22"/>
              </w:rPr>
            </w:pPr>
            <w:r>
              <w:rPr>
                <w:rFonts w:hint="eastAsia" w:ascii="宋体" w:hAnsi="宋体"/>
                <w:sz w:val="22"/>
                <w:szCs w:val="22"/>
              </w:rPr>
              <w:t>20分</w:t>
            </w:r>
          </w:p>
        </w:tc>
        <w:tc>
          <w:tcPr>
            <w:tcW w:w="1110" w:type="dxa"/>
            <w:tcBorders>
              <w:tl2br w:val="nil"/>
              <w:tr2bl w:val="nil"/>
            </w:tcBorders>
            <w:vAlign w:val="center"/>
          </w:tcPr>
          <w:p>
            <w:pPr>
              <w:jc w:val="center"/>
              <w:rPr>
                <w:rFonts w:ascii="宋体"/>
                <w:sz w:val="22"/>
                <w:szCs w:val="22"/>
              </w:rPr>
            </w:pPr>
            <w:r>
              <w:rPr>
                <w:rFonts w:hint="eastAsia" w:ascii="宋体" w:hAnsi="宋体"/>
                <w:sz w:val="22"/>
                <w:szCs w:val="22"/>
              </w:rPr>
              <w:t>业绩</w:t>
            </w:r>
          </w:p>
        </w:tc>
        <w:tc>
          <w:tcPr>
            <w:tcW w:w="630" w:type="dxa"/>
            <w:tcBorders>
              <w:tl2br w:val="nil"/>
              <w:tr2bl w:val="nil"/>
            </w:tcBorders>
            <w:vAlign w:val="center"/>
          </w:tcPr>
          <w:p>
            <w:pPr>
              <w:jc w:val="center"/>
              <w:rPr>
                <w:rFonts w:ascii="宋体"/>
                <w:sz w:val="22"/>
                <w:szCs w:val="22"/>
              </w:rPr>
            </w:pPr>
            <w:r>
              <w:rPr>
                <w:rFonts w:hint="eastAsia" w:ascii="宋体" w:hAnsi="宋体"/>
                <w:sz w:val="22"/>
                <w:szCs w:val="22"/>
              </w:rPr>
              <w:t>20分</w:t>
            </w:r>
          </w:p>
        </w:tc>
        <w:tc>
          <w:tcPr>
            <w:tcW w:w="5016" w:type="dxa"/>
            <w:gridSpan w:val="4"/>
            <w:tcBorders>
              <w:tl2br w:val="nil"/>
              <w:tr2bl w:val="nil"/>
            </w:tcBorders>
            <w:vAlign w:val="center"/>
          </w:tcPr>
          <w:p>
            <w:r>
              <w:rPr>
                <w:rFonts w:hint="eastAsia"/>
              </w:rPr>
              <w:t>1</w:t>
            </w:r>
            <w:r>
              <w:t>.满足资格审查条件业绩最低要求</w:t>
            </w:r>
            <w:r>
              <w:rPr>
                <w:rFonts w:hint="eastAsia"/>
              </w:rPr>
              <w:t>得12分。</w:t>
            </w:r>
          </w:p>
          <w:p>
            <w:pPr>
              <w:snapToGrid w:val="0"/>
              <w:ind w:left="1"/>
            </w:pPr>
            <w:r>
              <w:t>2.近5年</w:t>
            </w:r>
            <w:r>
              <w:rPr>
                <w:rFonts w:hint="eastAsia"/>
              </w:rPr>
              <w:t>（2</w:t>
            </w:r>
            <w:r>
              <w:t>015</w:t>
            </w:r>
            <w:r>
              <w:rPr>
                <w:rFonts w:hint="eastAsia"/>
              </w:rPr>
              <w:t>年5月1日起至今）</w:t>
            </w:r>
            <w:r>
              <w:t>每增加1条</w:t>
            </w:r>
            <w:r>
              <w:rPr>
                <w:rFonts w:hint="eastAsia"/>
              </w:rPr>
              <w:t>里程不少于50公里的高速公路新建或改扩建主体工程勘察设计或设计咨询</w:t>
            </w:r>
            <w:r>
              <w:t>业绩加</w:t>
            </w:r>
            <w:r>
              <w:rPr>
                <w:rFonts w:hint="eastAsia"/>
              </w:rPr>
              <w:t>2</w:t>
            </w:r>
            <w:r>
              <w:t>分，满分</w:t>
            </w:r>
            <w:r>
              <w:rPr>
                <w:rFonts w:hint="eastAsia"/>
              </w:rPr>
              <w:t>6</w:t>
            </w:r>
            <w:r>
              <w:t>分。</w:t>
            </w:r>
          </w:p>
          <w:p>
            <w:pPr>
              <w:pStyle w:val="2"/>
            </w:pPr>
            <w:r>
              <w:rPr>
                <w:rFonts w:hint="eastAsia"/>
              </w:rPr>
              <w:t>3.</w:t>
            </w:r>
            <w:r>
              <w:t>近5年</w:t>
            </w:r>
            <w:r>
              <w:rPr>
                <w:rFonts w:hint="eastAsia"/>
              </w:rPr>
              <w:t>（2</w:t>
            </w:r>
            <w:r>
              <w:t>015</w:t>
            </w:r>
            <w:r>
              <w:rPr>
                <w:rFonts w:hint="eastAsia"/>
              </w:rPr>
              <w:t>年5月1日起至今）</w:t>
            </w:r>
            <w:r>
              <w:t>每增加1</w:t>
            </w:r>
            <w:r>
              <w:rPr>
                <w:rFonts w:hint="eastAsia"/>
              </w:rPr>
              <w:t>座公路特大桥施工图勘察设计或勘察设计咨询业绩加2分，满分2分。</w:t>
            </w:r>
          </w:p>
          <w:p>
            <w:pPr>
              <w:pStyle w:val="3"/>
            </w:pPr>
            <w:r>
              <w:rPr>
                <w:rFonts w:hint="eastAsia"/>
              </w:rPr>
              <w:t>注：</w:t>
            </w:r>
            <w:r>
              <w:rPr>
                <w:rFonts w:hint="eastAsia" w:ascii="Calibri" w:hAnsi="Calibri" w:cs="Times New Roman"/>
                <w:color w:val="auto"/>
                <w:kern w:val="2"/>
                <w:sz w:val="21"/>
                <w:szCs w:val="22"/>
              </w:rPr>
              <w:t>同时满足第2、3项加分条件的业绩可重复加分。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14" w:hRule="atLeast"/>
          <w:jc w:val="center"/>
        </w:trPr>
        <w:tc>
          <w:tcPr>
            <w:tcW w:w="692" w:type="dxa"/>
            <w:vMerge w:val="continue"/>
            <w:tcBorders>
              <w:tl2br w:val="nil"/>
              <w:tr2bl w:val="nil"/>
            </w:tcBorders>
            <w:vAlign w:val="center"/>
          </w:tcPr>
          <w:p>
            <w:pPr>
              <w:jc w:val="center"/>
              <w:rPr>
                <w:rFonts w:ascii="宋体"/>
                <w:sz w:val="22"/>
                <w:szCs w:val="22"/>
              </w:rPr>
            </w:pPr>
          </w:p>
        </w:tc>
        <w:tc>
          <w:tcPr>
            <w:tcW w:w="747" w:type="dxa"/>
            <w:vMerge w:val="continue"/>
            <w:tcBorders>
              <w:tl2br w:val="nil"/>
              <w:tr2bl w:val="nil"/>
            </w:tcBorders>
            <w:vAlign w:val="center"/>
          </w:tcPr>
          <w:p>
            <w:pPr>
              <w:jc w:val="center"/>
              <w:rPr>
                <w:rFonts w:ascii="宋体"/>
                <w:sz w:val="22"/>
                <w:szCs w:val="22"/>
              </w:rPr>
            </w:pPr>
          </w:p>
        </w:tc>
        <w:tc>
          <w:tcPr>
            <w:tcW w:w="434" w:type="dxa"/>
            <w:vMerge w:val="restart"/>
            <w:tcBorders>
              <w:tl2br w:val="nil"/>
              <w:tr2bl w:val="nil"/>
            </w:tcBorders>
            <w:vAlign w:val="center"/>
          </w:tcPr>
          <w:p>
            <w:pPr>
              <w:jc w:val="center"/>
              <w:rPr>
                <w:rFonts w:ascii="宋体"/>
                <w:sz w:val="22"/>
                <w:szCs w:val="22"/>
              </w:rPr>
            </w:pPr>
            <w:r>
              <w:rPr>
                <w:rFonts w:hint="eastAsia"/>
                <w:sz w:val="22"/>
                <w:szCs w:val="22"/>
              </w:rPr>
              <w:t>履约信誉</w:t>
            </w:r>
          </w:p>
        </w:tc>
        <w:tc>
          <w:tcPr>
            <w:tcW w:w="465" w:type="dxa"/>
            <w:vMerge w:val="restart"/>
            <w:tcBorders>
              <w:tl2br w:val="nil"/>
              <w:tr2bl w:val="nil"/>
            </w:tcBorders>
            <w:vAlign w:val="center"/>
          </w:tcPr>
          <w:p>
            <w:pPr>
              <w:jc w:val="center"/>
              <w:rPr>
                <w:rFonts w:ascii="宋体"/>
                <w:sz w:val="22"/>
                <w:szCs w:val="22"/>
              </w:rPr>
            </w:pPr>
            <w:r>
              <w:rPr>
                <w:rFonts w:hint="eastAsia" w:ascii="宋体" w:hAnsi="宋体"/>
                <w:sz w:val="22"/>
                <w:szCs w:val="22"/>
              </w:rPr>
              <w:t>10分</w:t>
            </w:r>
          </w:p>
        </w:tc>
        <w:tc>
          <w:tcPr>
            <w:tcW w:w="1110" w:type="dxa"/>
            <w:tcBorders>
              <w:tl2br w:val="nil"/>
              <w:tr2bl w:val="nil"/>
            </w:tcBorders>
            <w:vAlign w:val="center"/>
          </w:tcPr>
          <w:p>
            <w:pPr>
              <w:ind w:left="-107" w:leftChars="-51" w:right="-107" w:rightChars="-51" w:firstLine="1"/>
              <w:jc w:val="center"/>
              <w:rPr>
                <w:rFonts w:ascii="宋体"/>
                <w:sz w:val="22"/>
                <w:szCs w:val="22"/>
              </w:rPr>
            </w:pPr>
            <w:r>
              <w:rPr>
                <w:sz w:val="22"/>
                <w:szCs w:val="22"/>
              </w:rPr>
              <w:t>信用评价</w:t>
            </w:r>
          </w:p>
        </w:tc>
        <w:tc>
          <w:tcPr>
            <w:tcW w:w="630" w:type="dxa"/>
            <w:tcBorders>
              <w:tl2br w:val="nil"/>
              <w:tr2bl w:val="nil"/>
            </w:tcBorders>
            <w:vAlign w:val="center"/>
          </w:tcPr>
          <w:p>
            <w:pPr>
              <w:rPr>
                <w:rFonts w:ascii="宋体"/>
                <w:sz w:val="22"/>
                <w:szCs w:val="22"/>
              </w:rPr>
            </w:pPr>
            <w:r>
              <w:rPr>
                <w:rFonts w:hint="eastAsia" w:ascii="宋体" w:hAnsi="宋体"/>
                <w:sz w:val="22"/>
                <w:szCs w:val="22"/>
              </w:rPr>
              <w:t>5分</w:t>
            </w:r>
          </w:p>
        </w:tc>
        <w:tc>
          <w:tcPr>
            <w:tcW w:w="5016" w:type="dxa"/>
            <w:gridSpan w:val="4"/>
            <w:tcBorders>
              <w:tl2br w:val="nil"/>
              <w:tr2bl w:val="nil"/>
            </w:tcBorders>
            <w:vAlign w:val="center"/>
          </w:tcPr>
          <w:p>
            <w:pPr>
              <w:snapToGrid w:val="0"/>
              <w:rPr>
                <w:rFonts w:ascii="宋体" w:hAnsi="宋体"/>
                <w:kern w:val="0"/>
              </w:rPr>
            </w:pPr>
            <w:r>
              <w:rPr>
                <w:rFonts w:ascii="宋体" w:hAnsi="宋体"/>
                <w:kern w:val="0"/>
              </w:rPr>
              <w:t>按以下原则确定的公路设计企业信用评价等级为AA级的得5分；为A级的得3分；其他等级不得分：</w:t>
            </w:r>
          </w:p>
          <w:p>
            <w:pPr>
              <w:snapToGrid w:val="0"/>
              <w:rPr>
                <w:rFonts w:ascii="宋体" w:hAnsi="宋体"/>
                <w:kern w:val="0"/>
              </w:rPr>
            </w:pPr>
            <w:r>
              <w:rPr>
                <w:rFonts w:ascii="宋体" w:hAnsi="宋体"/>
                <w:kern w:val="0"/>
              </w:rPr>
              <w:t>（1）有安徽省交通运输厅2019年度公</w:t>
            </w:r>
            <w:r>
              <w:rPr>
                <w:rFonts w:hint="eastAsia" w:ascii="宋体" w:hAnsi="宋体"/>
                <w:kern w:val="0"/>
              </w:rPr>
              <w:t>路</w:t>
            </w:r>
            <w:r>
              <w:rPr>
                <w:rFonts w:ascii="宋体" w:hAnsi="宋体"/>
                <w:kern w:val="0"/>
              </w:rPr>
              <w:t>设计企业信用评价等级时，直接引用该等级；</w:t>
            </w:r>
          </w:p>
          <w:p>
            <w:pPr>
              <w:snapToGrid w:val="0"/>
              <w:rPr>
                <w:rFonts w:ascii="宋体" w:hAnsi="宋体"/>
                <w:kern w:val="0"/>
              </w:rPr>
            </w:pPr>
            <w:r>
              <w:rPr>
                <w:rFonts w:ascii="宋体" w:hAnsi="宋体"/>
                <w:kern w:val="0"/>
              </w:rPr>
              <w:t>（2）没有安徽省交通运输厅2019年度公路设计企业信用评价等级时，引用安徽省交通运输厅2018年度公路设计企业信用评价等级。</w:t>
            </w:r>
          </w:p>
          <w:p>
            <w:pPr>
              <w:snapToGrid w:val="0"/>
              <w:rPr>
                <w:rFonts w:ascii="宋体" w:hAnsi="宋体"/>
                <w:kern w:val="0"/>
              </w:rPr>
            </w:pPr>
            <w:r>
              <w:rPr>
                <w:rFonts w:ascii="宋体" w:hAnsi="宋体"/>
                <w:kern w:val="0"/>
              </w:rPr>
              <w:t>（3）没有安徽省交通运输厅2019年度和2018年度公路设计企业信用评价等级时，引用交通运输部</w:t>
            </w:r>
            <w:r>
              <w:rPr>
                <w:rFonts w:hint="eastAsia" w:ascii="宋体" w:hAnsi="宋体"/>
                <w:kern w:val="0"/>
              </w:rPr>
              <w:t>最新</w:t>
            </w:r>
            <w:r>
              <w:rPr>
                <w:rFonts w:ascii="宋体" w:hAnsi="宋体"/>
                <w:kern w:val="0"/>
              </w:rPr>
              <w:t>年度公路设计企业信用评价等级。</w:t>
            </w:r>
          </w:p>
          <w:p>
            <w:pPr>
              <w:pStyle w:val="2"/>
            </w:pPr>
            <w:r>
              <w:rPr>
                <w:rFonts w:hint="eastAsia"/>
              </w:rPr>
              <w:t>（4）无上述信用评价等级的，则引用投标人企业注册所在地省级交通运输主管部门最新发布的公路设计企业信用评价等级。</w:t>
            </w:r>
          </w:p>
          <w:p>
            <w:pPr>
              <w:snapToGrid w:val="0"/>
              <w:rPr>
                <w:rFonts w:ascii="宋体" w:hAnsi="宋体"/>
                <w:kern w:val="0"/>
              </w:rPr>
            </w:pPr>
            <w:r>
              <w:rPr>
                <w:rFonts w:ascii="宋体" w:hAnsi="宋体"/>
                <w:kern w:val="0"/>
              </w:rPr>
              <w:t>（</w:t>
            </w:r>
            <w:r>
              <w:rPr>
                <w:rFonts w:hint="eastAsia" w:ascii="宋体" w:hAnsi="宋体"/>
                <w:kern w:val="0"/>
              </w:rPr>
              <w:t>5</w:t>
            </w:r>
            <w:r>
              <w:rPr>
                <w:rFonts w:ascii="宋体" w:hAnsi="宋体"/>
                <w:kern w:val="0"/>
              </w:rPr>
              <w:t>）无上述信用评价等级的，若无不良信用记录，按A级对待；若有不良信用记录，视其严重程度按B级及以下对待。</w:t>
            </w:r>
          </w:p>
          <w:p>
            <w:pPr>
              <w:snapToGrid w:val="0"/>
              <w:rPr>
                <w:rFonts w:ascii="宋体" w:cs="宋体"/>
                <w:kern w:val="0"/>
                <w:sz w:val="22"/>
                <w:szCs w:val="22"/>
              </w:rPr>
            </w:pPr>
            <w:r>
              <w:rPr>
                <w:rFonts w:ascii="宋体" w:hAnsi="宋体"/>
                <w:kern w:val="0"/>
              </w:rPr>
              <w:t>（</w:t>
            </w:r>
            <w:r>
              <w:rPr>
                <w:rFonts w:hint="eastAsia" w:ascii="宋体" w:hAnsi="宋体"/>
                <w:kern w:val="0"/>
              </w:rPr>
              <w:t>6</w:t>
            </w:r>
            <w:r>
              <w:rPr>
                <w:rFonts w:ascii="宋体" w:hAnsi="宋体"/>
                <w:kern w:val="0"/>
              </w:rPr>
              <w:t>）如在交通运输部或安徽省交通运输厅最新年度等级评价公布日期之后，被交通运输部或安徽省交通运输厅通报降级的投标人的信用等级按通报等级执行。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24" w:hRule="atLeast"/>
          <w:jc w:val="center"/>
        </w:trPr>
        <w:tc>
          <w:tcPr>
            <w:tcW w:w="692" w:type="dxa"/>
            <w:vMerge w:val="continue"/>
            <w:tcBorders>
              <w:tl2br w:val="nil"/>
              <w:tr2bl w:val="nil"/>
            </w:tcBorders>
            <w:vAlign w:val="center"/>
          </w:tcPr>
          <w:p>
            <w:pPr>
              <w:jc w:val="center"/>
              <w:rPr>
                <w:rFonts w:ascii="宋体"/>
                <w:sz w:val="22"/>
                <w:szCs w:val="22"/>
              </w:rPr>
            </w:pPr>
          </w:p>
        </w:tc>
        <w:tc>
          <w:tcPr>
            <w:tcW w:w="747" w:type="dxa"/>
            <w:vMerge w:val="continue"/>
            <w:tcBorders>
              <w:tl2br w:val="nil"/>
              <w:tr2bl w:val="nil"/>
            </w:tcBorders>
            <w:vAlign w:val="center"/>
          </w:tcPr>
          <w:p>
            <w:pPr>
              <w:jc w:val="center"/>
              <w:rPr>
                <w:rFonts w:ascii="宋体"/>
                <w:sz w:val="22"/>
                <w:szCs w:val="22"/>
              </w:rPr>
            </w:pPr>
          </w:p>
        </w:tc>
        <w:tc>
          <w:tcPr>
            <w:tcW w:w="434" w:type="dxa"/>
            <w:vMerge w:val="continue"/>
            <w:tcBorders>
              <w:tl2br w:val="nil"/>
              <w:tr2bl w:val="nil"/>
            </w:tcBorders>
            <w:vAlign w:val="center"/>
          </w:tcPr>
          <w:p>
            <w:pPr>
              <w:jc w:val="center"/>
              <w:rPr>
                <w:rFonts w:ascii="宋体"/>
                <w:sz w:val="22"/>
                <w:szCs w:val="22"/>
              </w:rPr>
            </w:pPr>
          </w:p>
        </w:tc>
        <w:tc>
          <w:tcPr>
            <w:tcW w:w="465" w:type="dxa"/>
            <w:vMerge w:val="continue"/>
            <w:tcBorders>
              <w:tl2br w:val="nil"/>
              <w:tr2bl w:val="nil"/>
            </w:tcBorders>
            <w:vAlign w:val="center"/>
          </w:tcPr>
          <w:p>
            <w:pPr>
              <w:jc w:val="center"/>
              <w:rPr>
                <w:rFonts w:ascii="宋体"/>
                <w:sz w:val="22"/>
                <w:szCs w:val="22"/>
              </w:rPr>
            </w:pPr>
          </w:p>
        </w:tc>
        <w:tc>
          <w:tcPr>
            <w:tcW w:w="1110" w:type="dxa"/>
            <w:tcBorders>
              <w:tl2br w:val="nil"/>
              <w:tr2bl w:val="nil"/>
            </w:tcBorders>
            <w:vAlign w:val="center"/>
          </w:tcPr>
          <w:p>
            <w:pPr>
              <w:ind w:left="-107" w:leftChars="-51" w:right="-107" w:rightChars="-51" w:firstLine="1"/>
              <w:jc w:val="center"/>
              <w:rPr>
                <w:sz w:val="22"/>
                <w:szCs w:val="22"/>
              </w:rPr>
            </w:pPr>
            <w:r>
              <w:rPr>
                <w:sz w:val="22"/>
                <w:szCs w:val="22"/>
              </w:rPr>
              <w:t>获奖情况</w:t>
            </w:r>
          </w:p>
        </w:tc>
        <w:tc>
          <w:tcPr>
            <w:tcW w:w="630" w:type="dxa"/>
            <w:tcBorders>
              <w:tl2br w:val="nil"/>
              <w:tr2bl w:val="nil"/>
            </w:tcBorders>
            <w:vAlign w:val="center"/>
          </w:tcPr>
          <w:p>
            <w:pPr>
              <w:jc w:val="center"/>
              <w:rPr>
                <w:sz w:val="22"/>
                <w:szCs w:val="22"/>
                <w:u w:val="single"/>
              </w:rPr>
            </w:pPr>
            <w:r>
              <w:rPr>
                <w:rFonts w:hint="eastAsia" w:ascii="宋体" w:hAnsi="宋体"/>
                <w:sz w:val="22"/>
                <w:szCs w:val="22"/>
              </w:rPr>
              <w:t>5分</w:t>
            </w:r>
          </w:p>
        </w:tc>
        <w:tc>
          <w:tcPr>
            <w:tcW w:w="5016" w:type="dxa"/>
            <w:gridSpan w:val="4"/>
            <w:tcBorders>
              <w:tl2br w:val="nil"/>
              <w:tr2bl w:val="nil"/>
            </w:tcBorders>
            <w:vAlign w:val="center"/>
          </w:tcPr>
          <w:p>
            <w:pPr>
              <w:snapToGrid w:val="0"/>
            </w:pPr>
            <w:r>
              <w:rPr>
                <w:rFonts w:hint="eastAsia"/>
              </w:rPr>
              <w:t>自2015年1月1日以来（时间以获奖证书颁发时间为准），投标人承担的公路工程或桥梁工程设计咨询项目：</w:t>
            </w:r>
          </w:p>
          <w:p>
            <w:pPr>
              <w:snapToGrid w:val="0"/>
            </w:pPr>
            <w:r>
              <w:rPr>
                <w:rFonts w:hint="eastAsia"/>
              </w:rPr>
              <w:t>获得过省部级优秀工程咨询成果奖，每个加1分；获得全国优秀工程咨询成果奖、中国公路勘察设计协会优秀勘察或优秀设计二等奖及以上、公路工程项目国家优质工程奖，每个加2.5分；本项满分5分，同一获奖项目以最高奖项计分，不重复加分。</w:t>
            </w:r>
          </w:p>
          <w:p>
            <w:pPr>
              <w:pStyle w:val="2"/>
            </w:pPr>
            <w:r>
              <w:rPr>
                <w:rStyle w:val="110"/>
                <w:rFonts w:hint="eastAsia" w:ascii="Times New Roman" w:hAnsi="Times New Roman"/>
                <w:b/>
                <w:bCs/>
                <w:szCs w:val="21"/>
              </w:rPr>
              <w:t>获奖证书上应能反映投标单位名称，否则不予认可。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094" w:type="dxa"/>
            <w:gridSpan w:val="10"/>
            <w:tcBorders>
              <w:tl2br w:val="nil"/>
              <w:tr2bl w:val="nil"/>
            </w:tcBorders>
            <w:vAlign w:val="center"/>
          </w:tcPr>
          <w:p>
            <w:pPr>
              <w:snapToGrid w:val="0"/>
              <w:rPr>
                <w:sz w:val="22"/>
                <w:szCs w:val="22"/>
              </w:rPr>
            </w:pPr>
            <w:r>
              <w:rPr>
                <w:sz w:val="22"/>
                <w:szCs w:val="22"/>
              </w:rPr>
              <w:t>需要补充的其他内容：</w:t>
            </w:r>
          </w:p>
          <w:p>
            <w:pPr>
              <w:spacing w:line="276" w:lineRule="auto"/>
              <w:ind w:firstLine="440" w:firstLineChars="200"/>
              <w:rPr>
                <w:sz w:val="22"/>
                <w:szCs w:val="22"/>
              </w:rPr>
            </w:pPr>
            <w:r>
              <w:rPr>
                <w:rFonts w:hint="eastAsia"/>
                <w:sz w:val="22"/>
                <w:szCs w:val="22"/>
              </w:rPr>
              <w:t>1、本办法没有列明的因素和标准不得作为评标的依据。</w:t>
            </w:r>
          </w:p>
          <w:p>
            <w:pPr>
              <w:spacing w:line="276" w:lineRule="auto"/>
              <w:ind w:firstLine="440" w:firstLineChars="200"/>
              <w:rPr>
                <w:sz w:val="22"/>
                <w:szCs w:val="22"/>
              </w:rPr>
            </w:pPr>
            <w:r>
              <w:rPr>
                <w:rFonts w:hint="eastAsia"/>
                <w:sz w:val="22"/>
                <w:szCs w:val="22"/>
              </w:rPr>
              <w:t>2、各评分因素（评标价、获奖和信用评价评分项除外）得分一般不低于其权重分值的60%，且各评分因素得分应以评标委员会各成员的打分平均值确定，评标委员会成员总数为七人及以上时，该平均值以去掉一个最高分和一个最低分后计算。评标委员会成员对某一项评分因素的评分低于权重分值60%的，应在评标报告中作出说明。</w:t>
            </w:r>
          </w:p>
          <w:p>
            <w:pPr>
              <w:spacing w:line="276" w:lineRule="auto"/>
              <w:ind w:firstLine="440" w:firstLineChars="200"/>
              <w:rPr>
                <w:sz w:val="22"/>
                <w:szCs w:val="22"/>
              </w:rPr>
            </w:pPr>
            <w:r>
              <w:rPr>
                <w:rFonts w:hint="eastAsia"/>
                <w:sz w:val="22"/>
                <w:szCs w:val="22"/>
              </w:rPr>
              <w:t>3、</w:t>
            </w:r>
            <w:r>
              <w:rPr>
                <w:sz w:val="22"/>
                <w:szCs w:val="22"/>
              </w:rPr>
              <w:t>若某一投标人在多个标段</w:t>
            </w:r>
            <w:r>
              <w:rPr>
                <w:rFonts w:hint="eastAsia"/>
                <w:sz w:val="22"/>
                <w:szCs w:val="22"/>
              </w:rPr>
              <w:t>均排名第一</w:t>
            </w:r>
            <w:r>
              <w:rPr>
                <w:sz w:val="22"/>
                <w:szCs w:val="22"/>
              </w:rPr>
              <w:t>，且只能中一个标段时，评标委员会应按照</w:t>
            </w:r>
            <w:r>
              <w:rPr>
                <w:rFonts w:hint="eastAsia"/>
                <w:sz w:val="22"/>
                <w:szCs w:val="22"/>
              </w:rPr>
              <w:t>投标人须知前附表第6.3款约定的</w:t>
            </w:r>
            <w:r>
              <w:rPr>
                <w:sz w:val="22"/>
                <w:szCs w:val="22"/>
              </w:rPr>
              <w:t>原则推荐中标候选人。</w:t>
            </w:r>
          </w:p>
          <w:p>
            <w:pPr>
              <w:snapToGrid w:val="0"/>
              <w:rPr>
                <w:rFonts w:ascii="宋体" w:hAnsi="宋体"/>
              </w:rPr>
            </w:pPr>
            <w:r>
              <w:rPr>
                <w:b/>
                <w:bCs/>
                <w:sz w:val="22"/>
                <w:szCs w:val="20"/>
              </w:rPr>
              <w:t>如投标人存在恶意低价竞标行为，招标人将其不良行为上报省级交通运输主管部门，作为不良记录纳入相关信用信息管理系统。</w:t>
            </w:r>
          </w:p>
        </w:tc>
      </w:tr>
    </w:tbl>
    <w:p>
      <w:pPr>
        <w:spacing w:line="400" w:lineRule="atLeast"/>
        <w:outlineLvl w:val="2"/>
        <w:rPr>
          <w:rFonts w:ascii="宋体" w:hAnsi="宋体"/>
          <w:b/>
          <w:bCs/>
        </w:rPr>
      </w:pPr>
    </w:p>
    <w:p>
      <w:pPr>
        <w:spacing w:line="400" w:lineRule="atLeast"/>
        <w:outlineLvl w:val="2"/>
        <w:rPr>
          <w:rFonts w:ascii="宋体" w:hAnsi="宋体"/>
          <w:b/>
          <w:bCs/>
        </w:rPr>
      </w:pPr>
    </w:p>
    <w:p>
      <w:pPr>
        <w:spacing w:line="400" w:lineRule="atLeast"/>
        <w:outlineLvl w:val="2"/>
        <w:rPr>
          <w:rFonts w:ascii="宋体" w:hAnsi="宋体"/>
          <w:b/>
          <w:bCs/>
        </w:rPr>
      </w:pPr>
    </w:p>
    <w:p>
      <w:pPr>
        <w:spacing w:line="400" w:lineRule="atLeast"/>
        <w:outlineLvl w:val="2"/>
        <w:rPr>
          <w:rFonts w:ascii="黑体" w:hAnsi="黑体" w:eastAsia="黑体" w:cs="黑体"/>
          <w:kern w:val="0"/>
          <w:sz w:val="22"/>
          <w:szCs w:val="21"/>
        </w:rPr>
      </w:pPr>
      <w:bookmarkStart w:id="4" w:name="_Toc15510"/>
      <w:r>
        <w:rPr>
          <w:rFonts w:hint="eastAsia" w:ascii="宋体" w:hAnsi="宋体"/>
          <w:b/>
          <w:bCs/>
        </w:rPr>
        <w:br w:type="page"/>
      </w:r>
      <w:bookmarkEnd w:id="4"/>
      <w:bookmarkStart w:id="5" w:name="_Toc28134"/>
      <w:bookmarkStart w:id="6" w:name="_Toc19146"/>
      <w:bookmarkStart w:id="7" w:name="_Toc28448"/>
      <w:bookmarkStart w:id="8" w:name="_Toc8399"/>
      <w:r>
        <w:rPr>
          <w:rFonts w:hint="eastAsia" w:ascii="黑体" w:hAnsi="黑体" w:eastAsia="黑体" w:cs="黑体"/>
          <w:kern w:val="0"/>
          <w:sz w:val="22"/>
          <w:szCs w:val="21"/>
        </w:rPr>
        <w:t>1.评标方法</w:t>
      </w:r>
      <w:bookmarkEnd w:id="5"/>
      <w:bookmarkEnd w:id="6"/>
      <w:bookmarkEnd w:id="7"/>
      <w:bookmarkEnd w:id="8"/>
    </w:p>
    <w:p>
      <w:pPr>
        <w:widowControl/>
        <w:snapToGrid w:val="0"/>
        <w:spacing w:line="360" w:lineRule="auto"/>
        <w:ind w:firstLine="440" w:firstLineChars="200"/>
        <w:jc w:val="left"/>
        <w:rPr>
          <w:sz w:val="22"/>
          <w:szCs w:val="21"/>
        </w:rPr>
      </w:pPr>
      <w:r>
        <w:rPr>
          <w:sz w:val="22"/>
          <w:szCs w:val="21"/>
        </w:rPr>
        <w:t>本次评标采用综合评估法。评标委员会对满足招标文件实质性要求的投标文件</w:t>
      </w:r>
      <w:r>
        <w:rPr>
          <w:rFonts w:hint="eastAsia"/>
          <w:sz w:val="22"/>
          <w:szCs w:val="21"/>
        </w:rPr>
        <w:t>，</w:t>
      </w:r>
      <w:r>
        <w:rPr>
          <w:sz w:val="22"/>
          <w:szCs w:val="21"/>
        </w:rPr>
        <w:t>按照本章第2.2款规定的评分标准进行打分，并按得分由高到低顺序推荐中标候选人，或根据招标人授权直接确定中标人，但投标报价低于其成本的除外。综合评分相等时，评标委员会应按照评标办法前附表规定的优先次序推荐中标候选人或确定中标人。</w:t>
      </w:r>
    </w:p>
    <w:p>
      <w:pPr>
        <w:widowControl/>
        <w:numPr>
          <w:ilvl w:val="0"/>
          <w:numId w:val="1"/>
        </w:numPr>
        <w:snapToGrid w:val="0"/>
        <w:spacing w:line="360" w:lineRule="auto"/>
        <w:jc w:val="left"/>
        <w:outlineLvl w:val="1"/>
        <w:rPr>
          <w:rFonts w:ascii="黑体" w:hAnsi="黑体" w:eastAsia="黑体" w:cs="黑体"/>
          <w:kern w:val="0"/>
          <w:sz w:val="22"/>
          <w:szCs w:val="21"/>
        </w:rPr>
      </w:pPr>
      <w:bookmarkStart w:id="9" w:name="_Toc617"/>
      <w:bookmarkStart w:id="10" w:name="_Toc32106"/>
      <w:bookmarkStart w:id="11" w:name="_Toc1825"/>
      <w:bookmarkStart w:id="12" w:name="_Toc13275"/>
      <w:r>
        <w:rPr>
          <w:rFonts w:hint="eastAsia" w:ascii="黑体" w:hAnsi="黑体" w:eastAsia="黑体" w:cs="黑体"/>
          <w:kern w:val="0"/>
          <w:sz w:val="22"/>
          <w:szCs w:val="21"/>
        </w:rPr>
        <w:t>评审标准</w:t>
      </w:r>
      <w:bookmarkEnd w:id="9"/>
      <w:bookmarkEnd w:id="10"/>
      <w:bookmarkEnd w:id="11"/>
      <w:bookmarkEnd w:id="12"/>
    </w:p>
    <w:p>
      <w:pPr>
        <w:widowControl/>
        <w:snapToGrid w:val="0"/>
        <w:spacing w:line="360" w:lineRule="auto"/>
        <w:jc w:val="left"/>
        <w:outlineLvl w:val="2"/>
        <w:rPr>
          <w:rFonts w:eastAsia="黑体"/>
          <w:kern w:val="0"/>
          <w:sz w:val="22"/>
          <w:szCs w:val="21"/>
        </w:rPr>
      </w:pPr>
      <w:bookmarkStart w:id="13" w:name="_Toc27664"/>
      <w:bookmarkStart w:id="14" w:name="_Toc13869"/>
      <w:bookmarkStart w:id="15" w:name="_Toc15565"/>
      <w:bookmarkStart w:id="16" w:name="_Toc13809"/>
      <w:r>
        <w:rPr>
          <w:rFonts w:eastAsia="黑体"/>
          <w:kern w:val="0"/>
          <w:sz w:val="22"/>
          <w:szCs w:val="21"/>
        </w:rPr>
        <w:t>2.1初步评审标准</w:t>
      </w:r>
      <w:bookmarkEnd w:id="13"/>
      <w:bookmarkEnd w:id="14"/>
      <w:bookmarkEnd w:id="15"/>
      <w:bookmarkEnd w:id="16"/>
    </w:p>
    <w:p>
      <w:pPr>
        <w:widowControl/>
        <w:snapToGrid w:val="0"/>
        <w:spacing w:line="360" w:lineRule="auto"/>
        <w:ind w:firstLine="440" w:firstLineChars="200"/>
        <w:jc w:val="left"/>
        <w:rPr>
          <w:sz w:val="22"/>
          <w:szCs w:val="21"/>
        </w:rPr>
      </w:pPr>
      <w:r>
        <w:rPr>
          <w:sz w:val="22"/>
          <w:szCs w:val="21"/>
        </w:rPr>
        <w:t>2.1.1形式评审标准</w:t>
      </w:r>
      <w:r>
        <w:rPr>
          <w:rFonts w:hint="eastAsia"/>
          <w:sz w:val="22"/>
          <w:szCs w:val="21"/>
        </w:rPr>
        <w:t>：</w:t>
      </w:r>
      <w:r>
        <w:rPr>
          <w:sz w:val="22"/>
          <w:szCs w:val="21"/>
        </w:rPr>
        <w:t>见评标办法前附表。</w:t>
      </w:r>
    </w:p>
    <w:p>
      <w:pPr>
        <w:widowControl/>
        <w:snapToGrid w:val="0"/>
        <w:spacing w:line="360" w:lineRule="auto"/>
        <w:ind w:firstLine="440" w:firstLineChars="200"/>
        <w:jc w:val="left"/>
        <w:rPr>
          <w:sz w:val="22"/>
          <w:szCs w:val="21"/>
        </w:rPr>
      </w:pPr>
      <w:r>
        <w:rPr>
          <w:sz w:val="22"/>
          <w:szCs w:val="21"/>
        </w:rPr>
        <w:t>2.1.2资格评审标准</w:t>
      </w:r>
      <w:r>
        <w:rPr>
          <w:rFonts w:hint="eastAsia"/>
          <w:sz w:val="22"/>
          <w:szCs w:val="21"/>
        </w:rPr>
        <w:t>：</w:t>
      </w:r>
      <w:r>
        <w:rPr>
          <w:sz w:val="22"/>
          <w:szCs w:val="21"/>
        </w:rPr>
        <w:t>见评标办法前附表。</w:t>
      </w:r>
    </w:p>
    <w:p>
      <w:pPr>
        <w:widowControl/>
        <w:snapToGrid w:val="0"/>
        <w:spacing w:line="360" w:lineRule="auto"/>
        <w:ind w:firstLine="440" w:firstLineChars="200"/>
        <w:jc w:val="left"/>
        <w:rPr>
          <w:sz w:val="22"/>
          <w:szCs w:val="21"/>
        </w:rPr>
      </w:pPr>
      <w:r>
        <w:rPr>
          <w:sz w:val="22"/>
          <w:szCs w:val="21"/>
        </w:rPr>
        <w:t>2.1.3响应性评审标准</w:t>
      </w:r>
      <w:r>
        <w:rPr>
          <w:rFonts w:hint="eastAsia"/>
          <w:sz w:val="22"/>
          <w:szCs w:val="21"/>
        </w:rPr>
        <w:t>：</w:t>
      </w:r>
      <w:r>
        <w:rPr>
          <w:sz w:val="22"/>
          <w:szCs w:val="21"/>
        </w:rPr>
        <w:t>见评标办法前附表。</w:t>
      </w:r>
    </w:p>
    <w:p>
      <w:pPr>
        <w:widowControl/>
        <w:snapToGrid w:val="0"/>
        <w:spacing w:line="360" w:lineRule="auto"/>
        <w:jc w:val="left"/>
        <w:outlineLvl w:val="2"/>
        <w:rPr>
          <w:rFonts w:eastAsia="黑体"/>
          <w:kern w:val="0"/>
          <w:sz w:val="22"/>
          <w:szCs w:val="21"/>
        </w:rPr>
      </w:pPr>
      <w:bookmarkStart w:id="17" w:name="_Toc2160"/>
      <w:bookmarkStart w:id="18" w:name="_Toc4176"/>
      <w:bookmarkStart w:id="19" w:name="_Toc374"/>
      <w:bookmarkStart w:id="20" w:name="_Toc9611"/>
      <w:r>
        <w:rPr>
          <w:rFonts w:eastAsia="黑体"/>
          <w:kern w:val="0"/>
          <w:sz w:val="22"/>
          <w:szCs w:val="21"/>
        </w:rPr>
        <w:t>2.2分值构成与评分标准</w:t>
      </w:r>
      <w:bookmarkEnd w:id="17"/>
      <w:bookmarkEnd w:id="18"/>
      <w:bookmarkEnd w:id="19"/>
      <w:bookmarkEnd w:id="20"/>
    </w:p>
    <w:p>
      <w:pPr>
        <w:widowControl/>
        <w:snapToGrid w:val="0"/>
        <w:spacing w:line="360" w:lineRule="auto"/>
        <w:ind w:firstLine="440" w:firstLineChars="200"/>
        <w:jc w:val="left"/>
        <w:rPr>
          <w:rFonts w:eastAsia="黑体"/>
          <w:sz w:val="22"/>
          <w:szCs w:val="21"/>
        </w:rPr>
      </w:pPr>
      <w:r>
        <w:rPr>
          <w:rFonts w:eastAsia="黑体"/>
          <w:sz w:val="22"/>
          <w:szCs w:val="21"/>
        </w:rPr>
        <w:t>2.2.1分值构成</w:t>
      </w:r>
    </w:p>
    <w:p>
      <w:pPr>
        <w:widowControl/>
        <w:snapToGrid w:val="0"/>
        <w:spacing w:line="360" w:lineRule="auto"/>
        <w:ind w:firstLine="440" w:firstLineChars="200"/>
        <w:jc w:val="left"/>
        <w:rPr>
          <w:sz w:val="22"/>
          <w:szCs w:val="21"/>
        </w:rPr>
      </w:pPr>
      <w:r>
        <w:rPr>
          <w:rFonts w:hint="eastAsia"/>
          <w:sz w:val="22"/>
          <w:szCs w:val="21"/>
        </w:rPr>
        <w:t>（1）</w:t>
      </w:r>
      <w:r>
        <w:rPr>
          <w:sz w:val="22"/>
          <w:szCs w:val="21"/>
        </w:rPr>
        <w:t>技术建议书</w:t>
      </w:r>
      <w:r>
        <w:rPr>
          <w:rFonts w:hint="eastAsia"/>
          <w:sz w:val="22"/>
          <w:szCs w:val="21"/>
        </w:rPr>
        <w:t>：</w:t>
      </w:r>
      <w:r>
        <w:rPr>
          <w:sz w:val="22"/>
          <w:szCs w:val="21"/>
        </w:rPr>
        <w:t>见评标办法前附表</w:t>
      </w:r>
      <w:r>
        <w:rPr>
          <w:rFonts w:hint="eastAsia"/>
          <w:sz w:val="22"/>
          <w:szCs w:val="21"/>
        </w:rPr>
        <w:t>；</w:t>
      </w:r>
    </w:p>
    <w:p>
      <w:pPr>
        <w:widowControl/>
        <w:snapToGrid w:val="0"/>
        <w:spacing w:line="360" w:lineRule="auto"/>
        <w:ind w:firstLine="440" w:firstLineChars="200"/>
        <w:jc w:val="left"/>
        <w:rPr>
          <w:sz w:val="22"/>
          <w:szCs w:val="21"/>
        </w:rPr>
      </w:pPr>
      <w:r>
        <w:rPr>
          <w:rFonts w:hint="eastAsia"/>
          <w:sz w:val="22"/>
          <w:szCs w:val="21"/>
        </w:rPr>
        <w:t>（2）</w:t>
      </w:r>
      <w:r>
        <w:rPr>
          <w:sz w:val="22"/>
          <w:szCs w:val="21"/>
        </w:rPr>
        <w:t>主要人员</w:t>
      </w:r>
      <w:r>
        <w:rPr>
          <w:rFonts w:hint="eastAsia"/>
          <w:sz w:val="22"/>
          <w:szCs w:val="21"/>
        </w:rPr>
        <w:t>：</w:t>
      </w:r>
      <w:r>
        <w:rPr>
          <w:sz w:val="22"/>
          <w:szCs w:val="21"/>
        </w:rPr>
        <w:t>见评标办法前附表</w:t>
      </w:r>
      <w:r>
        <w:rPr>
          <w:rFonts w:hint="eastAsia"/>
          <w:sz w:val="22"/>
          <w:szCs w:val="21"/>
        </w:rPr>
        <w:t>；</w:t>
      </w:r>
    </w:p>
    <w:p>
      <w:pPr>
        <w:widowControl/>
        <w:snapToGrid w:val="0"/>
        <w:spacing w:line="360" w:lineRule="auto"/>
        <w:ind w:firstLine="440" w:firstLineChars="200"/>
        <w:jc w:val="left"/>
        <w:rPr>
          <w:sz w:val="22"/>
          <w:szCs w:val="21"/>
        </w:rPr>
      </w:pPr>
      <w:r>
        <w:rPr>
          <w:rFonts w:hint="eastAsia"/>
          <w:sz w:val="22"/>
          <w:szCs w:val="21"/>
        </w:rPr>
        <w:t>（3）</w:t>
      </w:r>
      <w:r>
        <w:rPr>
          <w:sz w:val="22"/>
          <w:szCs w:val="21"/>
        </w:rPr>
        <w:t>评标价</w:t>
      </w:r>
      <w:r>
        <w:rPr>
          <w:rFonts w:hint="eastAsia"/>
          <w:sz w:val="22"/>
          <w:szCs w:val="21"/>
        </w:rPr>
        <w:t>：</w:t>
      </w:r>
      <w:r>
        <w:rPr>
          <w:sz w:val="22"/>
          <w:szCs w:val="21"/>
        </w:rPr>
        <w:t>见评标办法前附表</w:t>
      </w:r>
      <w:r>
        <w:rPr>
          <w:rFonts w:hint="eastAsia"/>
          <w:sz w:val="22"/>
          <w:szCs w:val="21"/>
        </w:rPr>
        <w:t>；</w:t>
      </w:r>
    </w:p>
    <w:p>
      <w:pPr>
        <w:widowControl/>
        <w:snapToGrid w:val="0"/>
        <w:spacing w:line="360" w:lineRule="auto"/>
        <w:ind w:firstLine="440" w:firstLineChars="200"/>
        <w:jc w:val="left"/>
        <w:rPr>
          <w:sz w:val="22"/>
          <w:szCs w:val="21"/>
        </w:rPr>
      </w:pPr>
      <w:r>
        <w:rPr>
          <w:rFonts w:hint="eastAsia"/>
          <w:sz w:val="22"/>
          <w:szCs w:val="21"/>
        </w:rPr>
        <w:t>（4）</w:t>
      </w:r>
      <w:r>
        <w:rPr>
          <w:sz w:val="22"/>
          <w:szCs w:val="21"/>
        </w:rPr>
        <w:t>其他评分因素</w:t>
      </w:r>
      <w:r>
        <w:rPr>
          <w:rFonts w:hint="eastAsia"/>
          <w:sz w:val="22"/>
          <w:szCs w:val="21"/>
        </w:rPr>
        <w:t>：</w:t>
      </w:r>
      <w:r>
        <w:rPr>
          <w:sz w:val="22"/>
          <w:szCs w:val="21"/>
        </w:rPr>
        <w:t>见评标办法前附表。</w:t>
      </w:r>
    </w:p>
    <w:p>
      <w:pPr>
        <w:widowControl/>
        <w:snapToGrid w:val="0"/>
        <w:spacing w:line="360" w:lineRule="auto"/>
        <w:ind w:firstLine="440" w:firstLineChars="200"/>
        <w:jc w:val="left"/>
        <w:rPr>
          <w:rFonts w:eastAsia="黑体"/>
          <w:sz w:val="22"/>
          <w:szCs w:val="21"/>
        </w:rPr>
      </w:pPr>
      <w:r>
        <w:rPr>
          <w:rFonts w:eastAsia="黑体"/>
          <w:sz w:val="22"/>
          <w:szCs w:val="21"/>
        </w:rPr>
        <w:t>2.2.2评标基准价计算</w:t>
      </w:r>
    </w:p>
    <w:p>
      <w:pPr>
        <w:widowControl/>
        <w:snapToGrid w:val="0"/>
        <w:spacing w:line="360" w:lineRule="auto"/>
        <w:ind w:firstLine="440" w:firstLineChars="200"/>
        <w:jc w:val="left"/>
        <w:rPr>
          <w:sz w:val="22"/>
          <w:szCs w:val="21"/>
        </w:rPr>
      </w:pPr>
      <w:r>
        <w:rPr>
          <w:sz w:val="22"/>
          <w:szCs w:val="21"/>
        </w:rPr>
        <w:t>评标基准价计算方法</w:t>
      </w:r>
      <w:r>
        <w:rPr>
          <w:rFonts w:hint="eastAsia"/>
          <w:sz w:val="22"/>
          <w:szCs w:val="21"/>
        </w:rPr>
        <w:t>：</w:t>
      </w:r>
      <w:r>
        <w:rPr>
          <w:sz w:val="22"/>
          <w:szCs w:val="21"/>
        </w:rPr>
        <w:t>见评标办法前附表。</w:t>
      </w:r>
    </w:p>
    <w:p>
      <w:pPr>
        <w:widowControl/>
        <w:snapToGrid w:val="0"/>
        <w:spacing w:line="360" w:lineRule="auto"/>
        <w:ind w:firstLine="440" w:firstLineChars="200"/>
        <w:jc w:val="left"/>
        <w:rPr>
          <w:rFonts w:eastAsia="黑体"/>
          <w:sz w:val="22"/>
          <w:szCs w:val="21"/>
        </w:rPr>
      </w:pPr>
      <w:r>
        <w:rPr>
          <w:rFonts w:eastAsia="黑体"/>
          <w:sz w:val="22"/>
          <w:szCs w:val="21"/>
        </w:rPr>
        <w:t>2.2.3评标价的偏差率计算</w:t>
      </w:r>
    </w:p>
    <w:p>
      <w:pPr>
        <w:widowControl/>
        <w:snapToGrid w:val="0"/>
        <w:spacing w:line="360" w:lineRule="auto"/>
        <w:ind w:firstLine="440" w:firstLineChars="200"/>
        <w:jc w:val="left"/>
        <w:rPr>
          <w:sz w:val="22"/>
          <w:szCs w:val="21"/>
        </w:rPr>
      </w:pPr>
      <w:r>
        <w:rPr>
          <w:sz w:val="22"/>
          <w:szCs w:val="21"/>
        </w:rPr>
        <w:t>评标价的偏差率计算公式</w:t>
      </w:r>
      <w:r>
        <w:rPr>
          <w:rFonts w:hint="eastAsia"/>
          <w:sz w:val="22"/>
          <w:szCs w:val="21"/>
        </w:rPr>
        <w:t>：</w:t>
      </w:r>
      <w:r>
        <w:rPr>
          <w:sz w:val="22"/>
          <w:szCs w:val="21"/>
        </w:rPr>
        <w:t>见评标办法前附表。</w:t>
      </w:r>
    </w:p>
    <w:p>
      <w:pPr>
        <w:widowControl/>
        <w:snapToGrid w:val="0"/>
        <w:spacing w:line="360" w:lineRule="auto"/>
        <w:ind w:firstLine="440" w:firstLineChars="200"/>
        <w:jc w:val="left"/>
        <w:rPr>
          <w:rFonts w:eastAsia="黑体"/>
          <w:sz w:val="22"/>
          <w:szCs w:val="21"/>
        </w:rPr>
      </w:pPr>
      <w:r>
        <w:rPr>
          <w:rFonts w:eastAsia="黑体"/>
          <w:sz w:val="22"/>
          <w:szCs w:val="21"/>
        </w:rPr>
        <w:t>2.2.</w:t>
      </w:r>
      <w:r>
        <w:rPr>
          <w:rFonts w:hint="eastAsia" w:eastAsia="黑体"/>
          <w:sz w:val="22"/>
          <w:szCs w:val="21"/>
        </w:rPr>
        <w:t xml:space="preserve">4 </w:t>
      </w:r>
      <w:r>
        <w:rPr>
          <w:rFonts w:eastAsia="黑体"/>
          <w:sz w:val="22"/>
          <w:szCs w:val="21"/>
        </w:rPr>
        <w:t>评分标准</w:t>
      </w:r>
    </w:p>
    <w:p>
      <w:pPr>
        <w:widowControl/>
        <w:snapToGrid w:val="0"/>
        <w:spacing w:line="360" w:lineRule="auto"/>
        <w:ind w:firstLine="440" w:firstLineChars="200"/>
        <w:jc w:val="left"/>
        <w:rPr>
          <w:sz w:val="22"/>
          <w:szCs w:val="21"/>
        </w:rPr>
      </w:pPr>
      <w:r>
        <w:rPr>
          <w:rFonts w:hint="eastAsia"/>
          <w:sz w:val="22"/>
          <w:szCs w:val="21"/>
        </w:rPr>
        <w:t>（1）</w:t>
      </w:r>
      <w:r>
        <w:rPr>
          <w:sz w:val="22"/>
          <w:szCs w:val="21"/>
        </w:rPr>
        <w:t>技术建议书评分标准</w:t>
      </w:r>
      <w:r>
        <w:rPr>
          <w:rFonts w:hint="eastAsia"/>
          <w:sz w:val="22"/>
          <w:szCs w:val="21"/>
        </w:rPr>
        <w:t>：</w:t>
      </w:r>
      <w:r>
        <w:rPr>
          <w:sz w:val="22"/>
          <w:szCs w:val="21"/>
        </w:rPr>
        <w:t>见评标办法前附表</w:t>
      </w:r>
      <w:r>
        <w:rPr>
          <w:rFonts w:hint="eastAsia"/>
          <w:sz w:val="22"/>
          <w:szCs w:val="21"/>
        </w:rPr>
        <w:t>；</w:t>
      </w:r>
    </w:p>
    <w:p>
      <w:pPr>
        <w:widowControl/>
        <w:snapToGrid w:val="0"/>
        <w:spacing w:line="360" w:lineRule="auto"/>
        <w:ind w:firstLine="440" w:firstLineChars="200"/>
        <w:jc w:val="left"/>
        <w:rPr>
          <w:sz w:val="22"/>
          <w:szCs w:val="21"/>
        </w:rPr>
      </w:pPr>
      <w:r>
        <w:rPr>
          <w:rFonts w:hint="eastAsia"/>
          <w:sz w:val="22"/>
          <w:szCs w:val="21"/>
        </w:rPr>
        <w:t>（2）</w:t>
      </w:r>
      <w:r>
        <w:rPr>
          <w:sz w:val="22"/>
          <w:szCs w:val="21"/>
        </w:rPr>
        <w:t>主要人员评分标准</w:t>
      </w:r>
      <w:r>
        <w:rPr>
          <w:rFonts w:hint="eastAsia"/>
          <w:sz w:val="22"/>
          <w:szCs w:val="21"/>
        </w:rPr>
        <w:t>：</w:t>
      </w:r>
      <w:r>
        <w:rPr>
          <w:sz w:val="22"/>
          <w:szCs w:val="21"/>
        </w:rPr>
        <w:t>见评标办法前附表</w:t>
      </w:r>
      <w:r>
        <w:rPr>
          <w:rFonts w:hint="eastAsia"/>
          <w:sz w:val="22"/>
          <w:szCs w:val="21"/>
        </w:rPr>
        <w:t>；</w:t>
      </w:r>
    </w:p>
    <w:p>
      <w:pPr>
        <w:widowControl/>
        <w:snapToGrid w:val="0"/>
        <w:spacing w:line="360" w:lineRule="auto"/>
        <w:ind w:firstLine="440" w:firstLineChars="200"/>
        <w:jc w:val="left"/>
        <w:rPr>
          <w:sz w:val="22"/>
          <w:szCs w:val="21"/>
        </w:rPr>
      </w:pPr>
      <w:r>
        <w:rPr>
          <w:rFonts w:hint="eastAsia"/>
          <w:sz w:val="22"/>
          <w:szCs w:val="21"/>
        </w:rPr>
        <w:t>（3）</w:t>
      </w:r>
      <w:r>
        <w:rPr>
          <w:sz w:val="22"/>
          <w:szCs w:val="21"/>
        </w:rPr>
        <w:t>评标价评分标准</w:t>
      </w:r>
      <w:r>
        <w:rPr>
          <w:rFonts w:hint="eastAsia"/>
          <w:sz w:val="22"/>
          <w:szCs w:val="21"/>
        </w:rPr>
        <w:t>：</w:t>
      </w:r>
      <w:r>
        <w:rPr>
          <w:sz w:val="22"/>
          <w:szCs w:val="21"/>
        </w:rPr>
        <w:t>见评标办法前附表</w:t>
      </w:r>
      <w:r>
        <w:rPr>
          <w:rFonts w:hint="eastAsia"/>
          <w:sz w:val="22"/>
          <w:szCs w:val="21"/>
        </w:rPr>
        <w:t>；</w:t>
      </w:r>
    </w:p>
    <w:p>
      <w:pPr>
        <w:widowControl/>
        <w:snapToGrid w:val="0"/>
        <w:spacing w:line="360" w:lineRule="auto"/>
        <w:ind w:firstLine="440" w:firstLineChars="200"/>
        <w:jc w:val="left"/>
        <w:rPr>
          <w:sz w:val="22"/>
          <w:szCs w:val="21"/>
        </w:rPr>
      </w:pPr>
      <w:r>
        <w:rPr>
          <w:rFonts w:hint="eastAsia"/>
          <w:sz w:val="22"/>
          <w:szCs w:val="21"/>
        </w:rPr>
        <w:t>（4）</w:t>
      </w:r>
      <w:r>
        <w:rPr>
          <w:sz w:val="22"/>
          <w:szCs w:val="21"/>
        </w:rPr>
        <w:t>其他因素评分标准</w:t>
      </w:r>
      <w:r>
        <w:rPr>
          <w:rFonts w:hint="eastAsia"/>
          <w:sz w:val="22"/>
          <w:szCs w:val="21"/>
        </w:rPr>
        <w:t>：</w:t>
      </w:r>
      <w:r>
        <w:rPr>
          <w:sz w:val="22"/>
          <w:szCs w:val="21"/>
        </w:rPr>
        <w:t>见评标办法前附表。</w:t>
      </w:r>
    </w:p>
    <w:p>
      <w:pPr>
        <w:widowControl/>
        <w:snapToGrid w:val="0"/>
        <w:spacing w:line="360" w:lineRule="auto"/>
        <w:jc w:val="left"/>
        <w:outlineLvl w:val="1"/>
        <w:rPr>
          <w:rFonts w:ascii="黑体" w:hAnsi="黑体" w:eastAsia="黑体" w:cs="黑体"/>
          <w:sz w:val="22"/>
          <w:szCs w:val="21"/>
        </w:rPr>
      </w:pPr>
      <w:bookmarkStart w:id="21" w:name="_Toc12432"/>
      <w:bookmarkStart w:id="22" w:name="_Toc8992"/>
      <w:bookmarkStart w:id="23" w:name="_Toc11013"/>
      <w:bookmarkStart w:id="24" w:name="_Toc12895"/>
      <w:r>
        <w:rPr>
          <w:rFonts w:hint="eastAsia" w:ascii="黑体" w:hAnsi="黑体" w:eastAsia="黑体" w:cs="黑体"/>
          <w:sz w:val="22"/>
          <w:szCs w:val="21"/>
        </w:rPr>
        <w:t>3.评标程序</w:t>
      </w:r>
      <w:bookmarkEnd w:id="21"/>
      <w:bookmarkEnd w:id="22"/>
      <w:bookmarkEnd w:id="23"/>
      <w:bookmarkEnd w:id="24"/>
    </w:p>
    <w:p>
      <w:pPr>
        <w:widowControl/>
        <w:snapToGrid w:val="0"/>
        <w:spacing w:line="360" w:lineRule="auto"/>
        <w:jc w:val="left"/>
        <w:outlineLvl w:val="2"/>
        <w:rPr>
          <w:rFonts w:eastAsia="黑体"/>
          <w:kern w:val="0"/>
          <w:sz w:val="22"/>
          <w:szCs w:val="21"/>
        </w:rPr>
      </w:pPr>
      <w:bookmarkStart w:id="25" w:name="_Toc20378"/>
      <w:bookmarkStart w:id="26" w:name="_Toc14941"/>
      <w:bookmarkStart w:id="27" w:name="_Toc21442"/>
      <w:bookmarkStart w:id="28" w:name="_Toc20980"/>
      <w:r>
        <w:rPr>
          <w:rFonts w:eastAsia="黑体"/>
          <w:kern w:val="0"/>
          <w:sz w:val="22"/>
          <w:szCs w:val="21"/>
        </w:rPr>
        <w:t>3.1第一个信封初步评审</w:t>
      </w:r>
      <w:bookmarkEnd w:id="25"/>
      <w:bookmarkEnd w:id="26"/>
      <w:bookmarkEnd w:id="27"/>
      <w:bookmarkEnd w:id="28"/>
    </w:p>
    <w:p>
      <w:pPr>
        <w:widowControl/>
        <w:snapToGrid w:val="0"/>
        <w:spacing w:line="360" w:lineRule="auto"/>
        <w:ind w:firstLine="440" w:firstLineChars="200"/>
        <w:jc w:val="left"/>
        <w:rPr>
          <w:sz w:val="22"/>
          <w:szCs w:val="21"/>
        </w:rPr>
      </w:pPr>
      <w:r>
        <w:rPr>
          <w:sz w:val="22"/>
          <w:szCs w:val="21"/>
        </w:rPr>
        <w:t>3.1.1评标委员会可以要求投标人提交第二章</w:t>
      </w:r>
      <w:r>
        <w:rPr>
          <w:rFonts w:hint="eastAsia" w:ascii="宋体" w:hAnsi="宋体" w:cs="宋体"/>
          <w:sz w:val="22"/>
          <w:szCs w:val="21"/>
        </w:rPr>
        <w:t>“投标人须知”</w:t>
      </w:r>
      <w:r>
        <w:rPr>
          <w:sz w:val="22"/>
          <w:szCs w:val="21"/>
        </w:rPr>
        <w:t>第3.5.1项至第3.5.5项规定的有关证明和证件的原件，以便核验。评标委员会依据本章第2.1款规定的标准对投标文件第一个信封</w:t>
      </w:r>
      <w:r>
        <w:rPr>
          <w:rFonts w:hint="eastAsia"/>
          <w:sz w:val="22"/>
          <w:szCs w:val="21"/>
        </w:rPr>
        <w:t>（</w:t>
      </w:r>
      <w:r>
        <w:rPr>
          <w:sz w:val="22"/>
          <w:szCs w:val="21"/>
        </w:rPr>
        <w:t>商务及技术文件</w:t>
      </w:r>
      <w:r>
        <w:rPr>
          <w:rFonts w:hint="eastAsia"/>
          <w:sz w:val="22"/>
          <w:szCs w:val="21"/>
        </w:rPr>
        <w:t>）</w:t>
      </w:r>
      <w:r>
        <w:rPr>
          <w:sz w:val="22"/>
          <w:szCs w:val="21"/>
        </w:rPr>
        <w:t>进行初步评审。有一项不符合评审标准的，评标委员会应否决其投标。</w:t>
      </w:r>
    </w:p>
    <w:p>
      <w:pPr>
        <w:widowControl/>
        <w:snapToGrid w:val="0"/>
        <w:spacing w:line="360" w:lineRule="auto"/>
        <w:jc w:val="left"/>
        <w:outlineLvl w:val="2"/>
        <w:rPr>
          <w:rFonts w:eastAsia="黑体"/>
          <w:kern w:val="0"/>
          <w:sz w:val="22"/>
          <w:szCs w:val="21"/>
        </w:rPr>
      </w:pPr>
      <w:bookmarkStart w:id="29" w:name="_Toc446"/>
      <w:bookmarkStart w:id="30" w:name="_Toc31982"/>
      <w:bookmarkStart w:id="31" w:name="_Toc5916"/>
      <w:bookmarkStart w:id="32" w:name="_Toc12255"/>
      <w:r>
        <w:rPr>
          <w:rFonts w:eastAsia="黑体"/>
          <w:kern w:val="0"/>
          <w:sz w:val="22"/>
          <w:szCs w:val="21"/>
        </w:rPr>
        <w:t>3.2 第一个信封详细评审</w:t>
      </w:r>
      <w:bookmarkEnd w:id="29"/>
      <w:bookmarkEnd w:id="30"/>
      <w:bookmarkEnd w:id="31"/>
      <w:bookmarkEnd w:id="32"/>
    </w:p>
    <w:p>
      <w:pPr>
        <w:widowControl/>
        <w:snapToGrid w:val="0"/>
        <w:spacing w:line="360" w:lineRule="auto"/>
        <w:ind w:firstLine="440" w:firstLineChars="200"/>
        <w:jc w:val="left"/>
        <w:rPr>
          <w:sz w:val="22"/>
          <w:szCs w:val="21"/>
        </w:rPr>
      </w:pPr>
      <w:r>
        <w:rPr>
          <w:sz w:val="22"/>
          <w:szCs w:val="21"/>
        </w:rPr>
        <w:t>3.2.1评标委员会按本章第2.2款规定的量化因素和分值进行打分，并计算出各投标人的商务和技术得分。</w:t>
      </w:r>
    </w:p>
    <w:p>
      <w:pPr>
        <w:widowControl/>
        <w:snapToGrid w:val="0"/>
        <w:spacing w:line="360" w:lineRule="auto"/>
        <w:ind w:firstLine="440" w:firstLineChars="200"/>
        <w:jc w:val="left"/>
        <w:rPr>
          <w:sz w:val="22"/>
          <w:szCs w:val="21"/>
        </w:rPr>
      </w:pPr>
      <w:r>
        <w:rPr>
          <w:rFonts w:hint="eastAsia"/>
          <w:sz w:val="22"/>
          <w:szCs w:val="21"/>
        </w:rPr>
        <w:t>（1）</w:t>
      </w:r>
      <w:r>
        <w:rPr>
          <w:sz w:val="22"/>
          <w:szCs w:val="21"/>
        </w:rPr>
        <w:t>按本章第2.2.4项</w:t>
      </w:r>
      <w:r>
        <w:rPr>
          <w:rFonts w:hint="eastAsia"/>
          <w:sz w:val="22"/>
          <w:szCs w:val="21"/>
        </w:rPr>
        <w:t>（1）目</w:t>
      </w:r>
      <w:r>
        <w:rPr>
          <w:sz w:val="22"/>
          <w:szCs w:val="21"/>
        </w:rPr>
        <w:t>规定的评审因素和分值对技术建议书部分计算出得分A</w:t>
      </w:r>
      <w:r>
        <w:rPr>
          <w:rFonts w:hint="eastAsia"/>
          <w:sz w:val="22"/>
          <w:szCs w:val="21"/>
        </w:rPr>
        <w:t>；</w:t>
      </w:r>
    </w:p>
    <w:p>
      <w:pPr>
        <w:widowControl/>
        <w:snapToGrid w:val="0"/>
        <w:spacing w:line="360" w:lineRule="auto"/>
        <w:ind w:firstLine="440" w:firstLineChars="200"/>
        <w:jc w:val="left"/>
        <w:rPr>
          <w:sz w:val="22"/>
          <w:szCs w:val="21"/>
        </w:rPr>
      </w:pPr>
      <w:r>
        <w:rPr>
          <w:rFonts w:hint="eastAsia"/>
          <w:sz w:val="22"/>
          <w:szCs w:val="21"/>
        </w:rPr>
        <w:t>（2）</w:t>
      </w:r>
      <w:r>
        <w:rPr>
          <w:sz w:val="22"/>
          <w:szCs w:val="21"/>
        </w:rPr>
        <w:t>按本章第2.2.4项</w:t>
      </w:r>
      <w:r>
        <w:rPr>
          <w:rFonts w:hint="eastAsia"/>
          <w:sz w:val="22"/>
          <w:szCs w:val="21"/>
        </w:rPr>
        <w:t>（2）</w:t>
      </w:r>
      <w:r>
        <w:rPr>
          <w:sz w:val="22"/>
          <w:szCs w:val="21"/>
        </w:rPr>
        <w:t>目规定的评审因素和分值对主要人员部分计算出得分B</w:t>
      </w:r>
      <w:r>
        <w:rPr>
          <w:rFonts w:hint="eastAsia"/>
          <w:sz w:val="22"/>
          <w:szCs w:val="21"/>
        </w:rPr>
        <w:t>；</w:t>
      </w:r>
    </w:p>
    <w:p>
      <w:pPr>
        <w:widowControl/>
        <w:snapToGrid w:val="0"/>
        <w:spacing w:line="360" w:lineRule="auto"/>
        <w:ind w:left="458" w:leftChars="218"/>
        <w:jc w:val="left"/>
        <w:rPr>
          <w:sz w:val="22"/>
          <w:szCs w:val="21"/>
        </w:rPr>
      </w:pPr>
      <w:r>
        <w:rPr>
          <w:rFonts w:hint="eastAsia"/>
          <w:sz w:val="22"/>
          <w:szCs w:val="21"/>
        </w:rPr>
        <w:t>（3）</w:t>
      </w:r>
      <w:r>
        <w:rPr>
          <w:sz w:val="22"/>
          <w:szCs w:val="21"/>
        </w:rPr>
        <w:t>按本章第2.2.4项</w:t>
      </w:r>
      <w:r>
        <w:rPr>
          <w:rFonts w:hint="eastAsia"/>
          <w:sz w:val="22"/>
          <w:szCs w:val="21"/>
        </w:rPr>
        <w:t>（4）</w:t>
      </w:r>
      <w:r>
        <w:rPr>
          <w:sz w:val="22"/>
          <w:szCs w:val="21"/>
        </w:rPr>
        <w:t>目规定的评审因素和分值对其他部分计算出得分D</w:t>
      </w:r>
      <w:r>
        <w:rPr>
          <w:rFonts w:hint="eastAsia"/>
          <w:sz w:val="22"/>
          <w:szCs w:val="21"/>
        </w:rPr>
        <w:t>。</w:t>
      </w:r>
    </w:p>
    <w:p>
      <w:pPr>
        <w:widowControl/>
        <w:snapToGrid w:val="0"/>
        <w:spacing w:line="360" w:lineRule="auto"/>
        <w:ind w:firstLine="440" w:firstLineChars="200"/>
        <w:jc w:val="left"/>
        <w:rPr>
          <w:sz w:val="22"/>
          <w:szCs w:val="21"/>
        </w:rPr>
      </w:pPr>
      <w:r>
        <w:rPr>
          <w:sz w:val="22"/>
          <w:szCs w:val="21"/>
        </w:rPr>
        <w:t>3.2.2 投标人的商务和技术得分分值</w:t>
      </w:r>
      <w:r>
        <w:rPr>
          <w:rFonts w:hint="eastAsia"/>
          <w:sz w:val="22"/>
          <w:szCs w:val="21"/>
        </w:rPr>
        <w:t>计</w:t>
      </w:r>
      <w:r>
        <w:rPr>
          <w:sz w:val="22"/>
          <w:szCs w:val="21"/>
        </w:rPr>
        <w:t>算保留小数点后两位，小数点后第三位</w:t>
      </w:r>
      <w:r>
        <w:rPr>
          <w:rFonts w:hint="eastAsia" w:ascii="宋体" w:hAnsi="宋体" w:cs="宋体"/>
          <w:sz w:val="22"/>
          <w:szCs w:val="21"/>
        </w:rPr>
        <w:t>“四舍五入”</w:t>
      </w:r>
      <w:r>
        <w:rPr>
          <w:sz w:val="22"/>
          <w:szCs w:val="21"/>
        </w:rPr>
        <w:t>。</w:t>
      </w:r>
    </w:p>
    <w:p>
      <w:pPr>
        <w:widowControl/>
        <w:snapToGrid w:val="0"/>
        <w:spacing w:line="360" w:lineRule="auto"/>
        <w:ind w:firstLine="440" w:firstLineChars="200"/>
        <w:jc w:val="left"/>
        <w:rPr>
          <w:sz w:val="22"/>
          <w:szCs w:val="21"/>
        </w:rPr>
      </w:pPr>
      <w:r>
        <w:rPr>
          <w:sz w:val="22"/>
          <w:szCs w:val="21"/>
        </w:rPr>
        <w:t>3.2.3 投标人的商务和技术得分=A+B+D。</w:t>
      </w:r>
    </w:p>
    <w:p>
      <w:pPr>
        <w:widowControl/>
        <w:snapToGrid w:val="0"/>
        <w:spacing w:line="360" w:lineRule="auto"/>
        <w:jc w:val="left"/>
        <w:outlineLvl w:val="2"/>
        <w:rPr>
          <w:rFonts w:eastAsia="黑体"/>
          <w:kern w:val="0"/>
          <w:sz w:val="22"/>
          <w:szCs w:val="21"/>
        </w:rPr>
      </w:pPr>
      <w:bookmarkStart w:id="33" w:name="_Toc9469"/>
      <w:bookmarkStart w:id="34" w:name="_Toc29582"/>
      <w:bookmarkStart w:id="35" w:name="_Toc7264"/>
      <w:bookmarkStart w:id="36" w:name="_Toc32010"/>
      <w:r>
        <w:rPr>
          <w:rFonts w:eastAsia="黑体"/>
          <w:kern w:val="0"/>
          <w:sz w:val="22"/>
          <w:szCs w:val="21"/>
        </w:rPr>
        <w:t>3.3 第二个信封开标</w:t>
      </w:r>
      <w:bookmarkEnd w:id="33"/>
      <w:bookmarkEnd w:id="34"/>
      <w:bookmarkEnd w:id="35"/>
      <w:bookmarkEnd w:id="36"/>
    </w:p>
    <w:p>
      <w:pPr>
        <w:widowControl/>
        <w:snapToGrid w:val="0"/>
        <w:spacing w:line="360" w:lineRule="auto"/>
        <w:ind w:firstLine="440" w:firstLineChars="200"/>
        <w:jc w:val="left"/>
        <w:rPr>
          <w:sz w:val="22"/>
          <w:szCs w:val="21"/>
        </w:rPr>
      </w:pPr>
      <w:r>
        <w:rPr>
          <w:sz w:val="22"/>
          <w:szCs w:val="21"/>
        </w:rPr>
        <w:t>第一个信封</w:t>
      </w:r>
      <w:r>
        <w:rPr>
          <w:rFonts w:hint="eastAsia"/>
          <w:sz w:val="22"/>
          <w:szCs w:val="21"/>
        </w:rPr>
        <w:t>（</w:t>
      </w:r>
      <w:r>
        <w:rPr>
          <w:sz w:val="22"/>
          <w:szCs w:val="21"/>
        </w:rPr>
        <w:t>商务及技术文件</w:t>
      </w:r>
      <w:r>
        <w:rPr>
          <w:rFonts w:hint="eastAsia"/>
          <w:sz w:val="22"/>
          <w:szCs w:val="21"/>
        </w:rPr>
        <w:t>）</w:t>
      </w:r>
      <w:r>
        <w:rPr>
          <w:sz w:val="22"/>
          <w:szCs w:val="21"/>
        </w:rPr>
        <w:t>评审结束后，招标人将按照第二章</w:t>
      </w:r>
      <w:r>
        <w:rPr>
          <w:rFonts w:hint="eastAsia" w:ascii="宋体" w:hAnsi="宋体" w:cs="宋体"/>
          <w:sz w:val="22"/>
          <w:szCs w:val="21"/>
        </w:rPr>
        <w:t>“投标人须知”</w:t>
      </w:r>
      <w:r>
        <w:rPr>
          <w:sz w:val="22"/>
          <w:szCs w:val="21"/>
        </w:rPr>
        <w:t>第5.1款规定的时间和地点对通过投标文件第一个信封</w:t>
      </w:r>
      <w:r>
        <w:rPr>
          <w:rFonts w:hint="eastAsia"/>
          <w:sz w:val="22"/>
          <w:szCs w:val="21"/>
        </w:rPr>
        <w:t>（</w:t>
      </w:r>
      <w:r>
        <w:rPr>
          <w:sz w:val="22"/>
          <w:szCs w:val="21"/>
        </w:rPr>
        <w:t>商务及技术文件</w:t>
      </w:r>
      <w:r>
        <w:rPr>
          <w:rFonts w:hint="eastAsia"/>
          <w:sz w:val="22"/>
          <w:szCs w:val="21"/>
        </w:rPr>
        <w:t>）</w:t>
      </w:r>
      <w:r>
        <w:rPr>
          <w:sz w:val="22"/>
          <w:szCs w:val="21"/>
        </w:rPr>
        <w:t>评审的投标文件第二个信封</w:t>
      </w:r>
      <w:r>
        <w:rPr>
          <w:rFonts w:hint="eastAsia"/>
          <w:sz w:val="22"/>
          <w:szCs w:val="21"/>
        </w:rPr>
        <w:t>（</w:t>
      </w:r>
      <w:r>
        <w:rPr>
          <w:sz w:val="22"/>
          <w:szCs w:val="21"/>
        </w:rPr>
        <w:t>报价文件</w:t>
      </w:r>
      <w:r>
        <w:rPr>
          <w:rFonts w:hint="eastAsia"/>
          <w:sz w:val="22"/>
          <w:szCs w:val="21"/>
        </w:rPr>
        <w:t>）</w:t>
      </w:r>
      <w:r>
        <w:rPr>
          <w:sz w:val="22"/>
          <w:szCs w:val="21"/>
        </w:rPr>
        <w:t>进行开标。</w:t>
      </w:r>
    </w:p>
    <w:p>
      <w:pPr>
        <w:widowControl/>
        <w:snapToGrid w:val="0"/>
        <w:spacing w:line="360" w:lineRule="auto"/>
        <w:jc w:val="left"/>
        <w:outlineLvl w:val="2"/>
        <w:rPr>
          <w:rFonts w:eastAsia="黑体"/>
          <w:kern w:val="0"/>
          <w:sz w:val="22"/>
          <w:szCs w:val="21"/>
        </w:rPr>
      </w:pPr>
      <w:bookmarkStart w:id="37" w:name="_Toc25693"/>
      <w:bookmarkStart w:id="38" w:name="_Toc27827"/>
      <w:bookmarkStart w:id="39" w:name="_Toc25888"/>
      <w:bookmarkStart w:id="40" w:name="_Toc435"/>
      <w:r>
        <w:rPr>
          <w:rFonts w:eastAsia="黑体"/>
          <w:kern w:val="0"/>
          <w:sz w:val="22"/>
          <w:szCs w:val="21"/>
        </w:rPr>
        <w:t>3.4 第二个信封初步评审</w:t>
      </w:r>
      <w:bookmarkEnd w:id="37"/>
      <w:bookmarkEnd w:id="38"/>
      <w:bookmarkEnd w:id="39"/>
      <w:bookmarkEnd w:id="40"/>
    </w:p>
    <w:p>
      <w:pPr>
        <w:widowControl/>
        <w:snapToGrid w:val="0"/>
        <w:spacing w:line="360" w:lineRule="auto"/>
        <w:ind w:firstLine="440" w:firstLineChars="200"/>
        <w:jc w:val="left"/>
        <w:rPr>
          <w:sz w:val="22"/>
          <w:szCs w:val="21"/>
        </w:rPr>
      </w:pPr>
      <w:r>
        <w:rPr>
          <w:sz w:val="22"/>
          <w:szCs w:val="21"/>
        </w:rPr>
        <w:t>3.4.1评标委员会依据本章第2.1.1项、第2.1.3项规定的评审标准对投标文件第</w:t>
      </w:r>
      <w:r>
        <w:rPr>
          <w:rFonts w:hint="eastAsia"/>
          <w:sz w:val="22"/>
          <w:szCs w:val="21"/>
        </w:rPr>
        <w:t>二</w:t>
      </w:r>
      <w:r>
        <w:rPr>
          <w:sz w:val="22"/>
          <w:szCs w:val="21"/>
        </w:rPr>
        <w:t>个信封</w:t>
      </w:r>
      <w:r>
        <w:rPr>
          <w:rFonts w:hint="eastAsia"/>
          <w:sz w:val="22"/>
          <w:szCs w:val="21"/>
        </w:rPr>
        <w:t>（</w:t>
      </w:r>
      <w:r>
        <w:rPr>
          <w:sz w:val="22"/>
          <w:szCs w:val="21"/>
        </w:rPr>
        <w:t>报价文件</w:t>
      </w:r>
      <w:r>
        <w:rPr>
          <w:rFonts w:hint="eastAsia"/>
          <w:sz w:val="22"/>
          <w:szCs w:val="21"/>
        </w:rPr>
        <w:t>）</w:t>
      </w:r>
      <w:r>
        <w:rPr>
          <w:sz w:val="22"/>
          <w:szCs w:val="21"/>
        </w:rPr>
        <w:t>进行初步评审。有一项不符合评审标准的，评标委员会应否决其投标。</w:t>
      </w:r>
    </w:p>
    <w:p>
      <w:pPr>
        <w:widowControl/>
        <w:snapToGrid w:val="0"/>
        <w:spacing w:line="360" w:lineRule="auto"/>
        <w:ind w:firstLine="440" w:firstLineChars="200"/>
        <w:jc w:val="left"/>
        <w:rPr>
          <w:sz w:val="22"/>
          <w:szCs w:val="21"/>
        </w:rPr>
      </w:pPr>
      <w:r>
        <w:rPr>
          <w:sz w:val="22"/>
          <w:szCs w:val="21"/>
        </w:rPr>
        <w:t>3.4.2 投标报价有算术错误的，评标委员会按以下原则对投标报价进行修正，修正的价格经投标人书面确认后具有约束力。投标人不接受修正价格的，评标委员会应否决其投标。</w:t>
      </w:r>
    </w:p>
    <w:p>
      <w:pPr>
        <w:widowControl/>
        <w:snapToGrid w:val="0"/>
        <w:spacing w:line="360" w:lineRule="auto"/>
        <w:ind w:firstLine="440" w:firstLineChars="200"/>
        <w:jc w:val="left"/>
        <w:rPr>
          <w:sz w:val="22"/>
          <w:szCs w:val="21"/>
        </w:rPr>
      </w:pPr>
      <w:r>
        <w:rPr>
          <w:rFonts w:hint="eastAsia"/>
          <w:sz w:val="22"/>
          <w:szCs w:val="21"/>
        </w:rPr>
        <w:t>（1）</w:t>
      </w:r>
      <w:r>
        <w:rPr>
          <w:sz w:val="22"/>
          <w:szCs w:val="21"/>
        </w:rPr>
        <w:t>投标文件中的大写金额与小写金额不一致的，以大写金额为准</w:t>
      </w:r>
      <w:r>
        <w:rPr>
          <w:rFonts w:hint="eastAsia"/>
          <w:sz w:val="22"/>
          <w:szCs w:val="21"/>
        </w:rPr>
        <w:t>；</w:t>
      </w:r>
    </w:p>
    <w:p>
      <w:pPr>
        <w:widowControl/>
        <w:snapToGrid w:val="0"/>
        <w:spacing w:line="360" w:lineRule="auto"/>
        <w:ind w:firstLine="440" w:firstLineChars="200"/>
        <w:jc w:val="left"/>
        <w:rPr>
          <w:sz w:val="22"/>
          <w:szCs w:val="21"/>
        </w:rPr>
      </w:pPr>
      <w:r>
        <w:rPr>
          <w:rFonts w:hint="eastAsia"/>
          <w:sz w:val="22"/>
          <w:szCs w:val="21"/>
        </w:rPr>
        <w:t>（2）</w:t>
      </w:r>
      <w:r>
        <w:rPr>
          <w:sz w:val="22"/>
          <w:szCs w:val="21"/>
        </w:rPr>
        <w:t>总价金额与依据单价计算出的结果不致的，以单价金额为准修正总价，但单价金额小数点有明显错误的除外</w:t>
      </w:r>
      <w:r>
        <w:rPr>
          <w:rFonts w:hint="eastAsia"/>
          <w:sz w:val="22"/>
          <w:szCs w:val="21"/>
        </w:rPr>
        <w:t>；</w:t>
      </w:r>
    </w:p>
    <w:p>
      <w:pPr>
        <w:widowControl/>
        <w:snapToGrid w:val="0"/>
        <w:spacing w:line="360" w:lineRule="auto"/>
        <w:ind w:firstLine="440" w:firstLineChars="200"/>
        <w:jc w:val="left"/>
        <w:rPr>
          <w:sz w:val="22"/>
          <w:szCs w:val="21"/>
        </w:rPr>
      </w:pPr>
      <w:r>
        <w:rPr>
          <w:rFonts w:hint="eastAsia"/>
          <w:sz w:val="22"/>
          <w:szCs w:val="21"/>
        </w:rPr>
        <w:t>（3）</w:t>
      </w:r>
      <w:r>
        <w:rPr>
          <w:sz w:val="22"/>
          <w:szCs w:val="21"/>
        </w:rPr>
        <w:t>当单价与数量相乘不等于合价时，以单价计算为准，如果单价有明显的小数点位置差错，应以标出的合价为准，同时对单价予以修正</w:t>
      </w:r>
      <w:r>
        <w:rPr>
          <w:rFonts w:hint="eastAsia"/>
          <w:sz w:val="22"/>
          <w:szCs w:val="21"/>
        </w:rPr>
        <w:t>；</w:t>
      </w:r>
    </w:p>
    <w:p>
      <w:pPr>
        <w:widowControl/>
        <w:snapToGrid w:val="0"/>
        <w:spacing w:line="360" w:lineRule="auto"/>
        <w:ind w:firstLine="440" w:firstLineChars="200"/>
        <w:jc w:val="left"/>
        <w:rPr>
          <w:sz w:val="22"/>
          <w:szCs w:val="21"/>
        </w:rPr>
      </w:pPr>
      <w:r>
        <w:rPr>
          <w:rFonts w:hint="eastAsia"/>
          <w:sz w:val="22"/>
          <w:szCs w:val="21"/>
        </w:rPr>
        <w:t>（4）</w:t>
      </w:r>
      <w:r>
        <w:rPr>
          <w:sz w:val="22"/>
          <w:szCs w:val="21"/>
        </w:rPr>
        <w:t>当各子目的合价累计不等于总价时，应以各子目合价累计数为准，修正总价。</w:t>
      </w:r>
    </w:p>
    <w:p>
      <w:pPr>
        <w:widowControl/>
        <w:snapToGrid w:val="0"/>
        <w:spacing w:line="360" w:lineRule="auto"/>
        <w:ind w:firstLine="440" w:firstLineChars="200"/>
        <w:jc w:val="left"/>
        <w:rPr>
          <w:sz w:val="22"/>
          <w:szCs w:val="21"/>
        </w:rPr>
      </w:pPr>
      <w:r>
        <w:rPr>
          <w:sz w:val="22"/>
          <w:szCs w:val="21"/>
        </w:rPr>
        <w:t>3.4.3 修正后的最终投标报价若超过最高投标限价</w:t>
      </w:r>
      <w:r>
        <w:rPr>
          <w:rFonts w:hint="eastAsia"/>
          <w:sz w:val="22"/>
          <w:szCs w:val="21"/>
        </w:rPr>
        <w:t>（</w:t>
      </w:r>
      <w:r>
        <w:rPr>
          <w:sz w:val="22"/>
          <w:szCs w:val="21"/>
        </w:rPr>
        <w:t>如有</w:t>
      </w:r>
      <w:r>
        <w:rPr>
          <w:rFonts w:hint="eastAsia"/>
          <w:sz w:val="22"/>
          <w:szCs w:val="21"/>
        </w:rPr>
        <w:t>）</w:t>
      </w:r>
      <w:r>
        <w:rPr>
          <w:sz w:val="22"/>
          <w:szCs w:val="21"/>
        </w:rPr>
        <w:t>，评标委员会应否决其投标。</w:t>
      </w:r>
    </w:p>
    <w:p>
      <w:pPr>
        <w:widowControl/>
        <w:snapToGrid w:val="0"/>
        <w:spacing w:line="360" w:lineRule="auto"/>
        <w:ind w:firstLine="440" w:firstLineChars="200"/>
        <w:jc w:val="left"/>
        <w:rPr>
          <w:sz w:val="22"/>
          <w:szCs w:val="21"/>
        </w:rPr>
      </w:pPr>
      <w:r>
        <w:rPr>
          <w:sz w:val="22"/>
          <w:szCs w:val="21"/>
        </w:rPr>
        <w:t>3.4.4 修正后的最终投标报价仅作为签订合同的一个依据，不参与评标价得分的计算。</w:t>
      </w:r>
    </w:p>
    <w:p>
      <w:pPr>
        <w:widowControl/>
        <w:snapToGrid w:val="0"/>
        <w:spacing w:line="360" w:lineRule="auto"/>
        <w:jc w:val="left"/>
        <w:outlineLvl w:val="2"/>
        <w:rPr>
          <w:rFonts w:eastAsia="黑体"/>
          <w:kern w:val="0"/>
          <w:sz w:val="22"/>
          <w:szCs w:val="21"/>
        </w:rPr>
      </w:pPr>
      <w:bookmarkStart w:id="41" w:name="_Toc29948"/>
      <w:bookmarkStart w:id="42" w:name="_Toc29659"/>
      <w:bookmarkStart w:id="43" w:name="_Toc16500"/>
      <w:bookmarkStart w:id="44" w:name="_Toc7100"/>
      <w:r>
        <w:rPr>
          <w:rFonts w:eastAsia="黑体"/>
          <w:kern w:val="0"/>
          <w:sz w:val="22"/>
          <w:szCs w:val="21"/>
        </w:rPr>
        <w:t>3.5 第二个信封详细评审</w:t>
      </w:r>
      <w:bookmarkEnd w:id="41"/>
      <w:bookmarkEnd w:id="42"/>
      <w:bookmarkEnd w:id="43"/>
      <w:bookmarkEnd w:id="44"/>
    </w:p>
    <w:p>
      <w:pPr>
        <w:widowControl/>
        <w:snapToGrid w:val="0"/>
        <w:spacing w:line="360" w:lineRule="auto"/>
        <w:ind w:firstLine="440" w:firstLineChars="200"/>
        <w:jc w:val="left"/>
        <w:rPr>
          <w:sz w:val="22"/>
          <w:szCs w:val="21"/>
        </w:rPr>
      </w:pPr>
      <w:r>
        <w:rPr>
          <w:sz w:val="22"/>
          <w:szCs w:val="21"/>
        </w:rPr>
        <w:t>3.5.1评标委员会按本章第2.2.4项</w:t>
      </w:r>
      <w:r>
        <w:rPr>
          <w:rFonts w:hint="eastAsia"/>
          <w:sz w:val="22"/>
          <w:szCs w:val="21"/>
        </w:rPr>
        <w:t>（3）</w:t>
      </w:r>
      <w:r>
        <w:rPr>
          <w:sz w:val="22"/>
          <w:szCs w:val="21"/>
        </w:rPr>
        <w:t>目规定的评审因素和分值对评标价计算出得分C。评标价得分分值计算保留小数点后两位，小数点后第三位</w:t>
      </w:r>
      <w:r>
        <w:rPr>
          <w:rFonts w:hint="eastAsia" w:ascii="宋体" w:hAnsi="宋体" w:cs="宋体"/>
          <w:sz w:val="22"/>
          <w:szCs w:val="21"/>
        </w:rPr>
        <w:t>“四舍五入”。</w:t>
      </w:r>
    </w:p>
    <w:p>
      <w:pPr>
        <w:widowControl/>
        <w:snapToGrid w:val="0"/>
        <w:spacing w:line="360" w:lineRule="auto"/>
        <w:ind w:firstLine="440" w:firstLineChars="200"/>
        <w:jc w:val="left"/>
        <w:rPr>
          <w:sz w:val="22"/>
          <w:szCs w:val="21"/>
        </w:rPr>
      </w:pPr>
      <w:r>
        <w:rPr>
          <w:sz w:val="22"/>
          <w:szCs w:val="21"/>
        </w:rPr>
        <w:t>3.5.2 投标人综合得分=投标人的商务和技术得分+C。</w:t>
      </w:r>
    </w:p>
    <w:p>
      <w:pPr>
        <w:widowControl/>
        <w:snapToGrid w:val="0"/>
        <w:spacing w:line="360" w:lineRule="auto"/>
        <w:ind w:firstLine="440" w:firstLineChars="200"/>
        <w:jc w:val="left"/>
        <w:rPr>
          <w:sz w:val="22"/>
          <w:szCs w:val="21"/>
        </w:rPr>
      </w:pPr>
      <w:r>
        <w:rPr>
          <w:sz w:val="22"/>
          <w:szCs w:val="21"/>
        </w:rPr>
        <w:t>3.5.3 评标委员会发现投标人的报价明显低于其他投标报价，使得其投标报价可能低于其个别成本的，应要求该投标人作出书面说明并提供相应的证明材料。投标人不能合埋说明或不能提供相应证明材料的，评标委员会应认定该投标人以低于成本报价竞标，并否决其投标。</w:t>
      </w:r>
    </w:p>
    <w:p>
      <w:pPr>
        <w:widowControl/>
        <w:snapToGrid w:val="0"/>
        <w:spacing w:line="360" w:lineRule="auto"/>
        <w:jc w:val="left"/>
        <w:outlineLvl w:val="2"/>
        <w:rPr>
          <w:rFonts w:eastAsia="黑体"/>
          <w:kern w:val="0"/>
          <w:sz w:val="22"/>
          <w:szCs w:val="21"/>
        </w:rPr>
      </w:pPr>
      <w:bookmarkStart w:id="45" w:name="_Toc21083"/>
      <w:bookmarkStart w:id="46" w:name="_Toc3508"/>
      <w:bookmarkStart w:id="47" w:name="_Toc16306"/>
      <w:bookmarkStart w:id="48" w:name="_Toc8834"/>
      <w:r>
        <w:rPr>
          <w:rFonts w:eastAsia="黑体"/>
          <w:kern w:val="0"/>
          <w:sz w:val="22"/>
          <w:szCs w:val="21"/>
        </w:rPr>
        <w:t>3.6 投标文件相关信息的核查</w:t>
      </w:r>
      <w:bookmarkEnd w:id="45"/>
      <w:bookmarkEnd w:id="46"/>
      <w:bookmarkEnd w:id="47"/>
      <w:bookmarkEnd w:id="48"/>
    </w:p>
    <w:p>
      <w:pPr>
        <w:widowControl/>
        <w:snapToGrid w:val="0"/>
        <w:spacing w:line="360" w:lineRule="auto"/>
        <w:ind w:firstLine="440" w:firstLineChars="200"/>
        <w:jc w:val="left"/>
        <w:rPr>
          <w:rFonts w:ascii="宋体" w:hAnsi="宋体" w:cs="宋体"/>
          <w:sz w:val="22"/>
          <w:szCs w:val="21"/>
        </w:rPr>
      </w:pPr>
      <w:r>
        <w:rPr>
          <w:sz w:val="22"/>
          <w:szCs w:val="21"/>
        </w:rPr>
        <w:t>3.6.1在评标过程中，评标委员会应查询交通运输主管部门</w:t>
      </w:r>
      <w:r>
        <w:rPr>
          <w:rFonts w:hint="eastAsia" w:ascii="宋体" w:hAnsi="宋体" w:cs="宋体"/>
          <w:sz w:val="22"/>
          <w:szCs w:val="21"/>
        </w:rPr>
        <w:t>“公路建设市场信用信息管理系统”，对投标人的资质、业绩、主要人员资历和目前在岗情况、信用等级等信息进行核实。若投标文件载明的信息与交通运输主管部门“公路建设市场信用信息管理系统”发布的信息不符，使得投标人的资格条件不符合招标文件规定的，评标委员会应否决其投标。</w:t>
      </w:r>
    </w:p>
    <w:p>
      <w:pPr>
        <w:widowControl/>
        <w:snapToGrid w:val="0"/>
        <w:spacing w:line="360" w:lineRule="auto"/>
        <w:ind w:firstLine="440" w:firstLineChars="200"/>
        <w:jc w:val="left"/>
        <w:rPr>
          <w:sz w:val="22"/>
          <w:szCs w:val="21"/>
        </w:rPr>
      </w:pPr>
      <w:r>
        <w:rPr>
          <w:sz w:val="22"/>
          <w:szCs w:val="21"/>
        </w:rPr>
        <w:t>3.6.2 评标委员会应对在评标过程中发现的投标人与投标人之间、投标人与招标人之间存在的串通投标的情形进行评审和认定。投标人存在串通投标、弄虚作假、行贿等违法行为的，评标委员会应否决其投标。</w:t>
      </w:r>
    </w:p>
    <w:p>
      <w:pPr>
        <w:widowControl/>
        <w:snapToGrid w:val="0"/>
        <w:spacing w:line="360" w:lineRule="auto"/>
        <w:ind w:firstLine="440" w:firstLineChars="200"/>
        <w:jc w:val="left"/>
        <w:rPr>
          <w:sz w:val="22"/>
          <w:szCs w:val="21"/>
        </w:rPr>
      </w:pPr>
      <w:r>
        <w:rPr>
          <w:rFonts w:hint="eastAsia"/>
          <w:sz w:val="22"/>
          <w:szCs w:val="21"/>
        </w:rPr>
        <w:t>（1）</w:t>
      </w:r>
      <w:r>
        <w:rPr>
          <w:sz w:val="22"/>
          <w:szCs w:val="21"/>
        </w:rPr>
        <w:t>有下列情形之一的，属于投标人相互串通投标</w:t>
      </w:r>
      <w:r>
        <w:rPr>
          <w:rFonts w:hint="eastAsia"/>
          <w:sz w:val="22"/>
          <w:szCs w:val="21"/>
        </w:rPr>
        <w:t>：</w:t>
      </w:r>
    </w:p>
    <w:p>
      <w:pPr>
        <w:widowControl/>
        <w:snapToGrid w:val="0"/>
        <w:spacing w:line="360" w:lineRule="auto"/>
        <w:ind w:firstLine="440" w:firstLineChars="200"/>
        <w:jc w:val="left"/>
        <w:rPr>
          <w:sz w:val="22"/>
          <w:szCs w:val="21"/>
        </w:rPr>
      </w:pPr>
      <w:r>
        <w:rPr>
          <w:sz w:val="22"/>
          <w:szCs w:val="21"/>
        </w:rPr>
        <w:t>a.投标人之间协商投标报价等投标文件的实质性内容</w:t>
      </w:r>
      <w:r>
        <w:rPr>
          <w:rFonts w:hint="eastAsia"/>
          <w:sz w:val="22"/>
          <w:szCs w:val="21"/>
        </w:rPr>
        <w:t>；</w:t>
      </w:r>
    </w:p>
    <w:p>
      <w:pPr>
        <w:widowControl/>
        <w:snapToGrid w:val="0"/>
        <w:spacing w:line="360" w:lineRule="auto"/>
        <w:ind w:firstLine="440" w:firstLineChars="200"/>
        <w:jc w:val="left"/>
        <w:rPr>
          <w:sz w:val="22"/>
          <w:szCs w:val="21"/>
        </w:rPr>
      </w:pPr>
      <w:r>
        <w:rPr>
          <w:sz w:val="22"/>
          <w:szCs w:val="21"/>
        </w:rPr>
        <w:t>b.投标人之间约定中标人</w:t>
      </w:r>
      <w:r>
        <w:rPr>
          <w:rFonts w:hint="eastAsia"/>
          <w:sz w:val="22"/>
          <w:szCs w:val="21"/>
        </w:rPr>
        <w:t>；</w:t>
      </w:r>
    </w:p>
    <w:p>
      <w:pPr>
        <w:widowControl/>
        <w:snapToGrid w:val="0"/>
        <w:spacing w:line="360" w:lineRule="auto"/>
        <w:ind w:firstLine="440" w:firstLineChars="200"/>
        <w:jc w:val="left"/>
        <w:rPr>
          <w:sz w:val="22"/>
          <w:szCs w:val="21"/>
        </w:rPr>
      </w:pPr>
      <w:r>
        <w:rPr>
          <w:rFonts w:hint="eastAsia"/>
          <w:sz w:val="22"/>
          <w:szCs w:val="21"/>
        </w:rPr>
        <w:t>c</w:t>
      </w:r>
      <w:r>
        <w:rPr>
          <w:sz w:val="22"/>
          <w:szCs w:val="21"/>
        </w:rPr>
        <w:t>.投标人之间约定部分投标人放弃投标或中标</w:t>
      </w:r>
      <w:r>
        <w:rPr>
          <w:rFonts w:hint="eastAsia"/>
          <w:sz w:val="22"/>
          <w:szCs w:val="21"/>
        </w:rPr>
        <w:t>；</w:t>
      </w:r>
    </w:p>
    <w:p>
      <w:pPr>
        <w:widowControl/>
        <w:snapToGrid w:val="0"/>
        <w:spacing w:line="360" w:lineRule="auto"/>
        <w:ind w:firstLine="440" w:firstLineChars="200"/>
        <w:jc w:val="left"/>
        <w:rPr>
          <w:sz w:val="22"/>
          <w:szCs w:val="21"/>
        </w:rPr>
      </w:pPr>
      <w:r>
        <w:rPr>
          <w:sz w:val="22"/>
          <w:szCs w:val="21"/>
        </w:rPr>
        <w:t>d.属于同一集团、协会、商会等组织成员的投标人按照该组织要求协同投标</w:t>
      </w:r>
      <w:r>
        <w:rPr>
          <w:rFonts w:hint="eastAsia"/>
          <w:sz w:val="22"/>
          <w:szCs w:val="21"/>
        </w:rPr>
        <w:t>；</w:t>
      </w:r>
    </w:p>
    <w:p>
      <w:pPr>
        <w:widowControl/>
        <w:snapToGrid w:val="0"/>
        <w:spacing w:line="360" w:lineRule="auto"/>
        <w:ind w:firstLine="440" w:firstLineChars="200"/>
        <w:jc w:val="left"/>
        <w:rPr>
          <w:sz w:val="22"/>
          <w:szCs w:val="21"/>
        </w:rPr>
      </w:pPr>
      <w:r>
        <w:rPr>
          <w:sz w:val="22"/>
          <w:szCs w:val="21"/>
        </w:rPr>
        <w:t>e.投标人之间为谋取中标或排斥特定投标人而采取的其他联合行动。</w:t>
      </w:r>
    </w:p>
    <w:p>
      <w:pPr>
        <w:widowControl/>
        <w:snapToGrid w:val="0"/>
        <w:spacing w:line="360" w:lineRule="auto"/>
        <w:ind w:firstLine="440" w:firstLineChars="200"/>
        <w:jc w:val="left"/>
        <w:rPr>
          <w:sz w:val="22"/>
          <w:szCs w:val="21"/>
        </w:rPr>
      </w:pPr>
      <w:r>
        <w:rPr>
          <w:rFonts w:hint="eastAsia"/>
          <w:sz w:val="22"/>
          <w:szCs w:val="21"/>
        </w:rPr>
        <w:t>（2）</w:t>
      </w:r>
      <w:r>
        <w:rPr>
          <w:sz w:val="22"/>
          <w:szCs w:val="21"/>
        </w:rPr>
        <w:t>有下列情形之一的，视为投标人相互串通投标</w:t>
      </w:r>
      <w:r>
        <w:rPr>
          <w:rFonts w:hint="eastAsia"/>
          <w:sz w:val="22"/>
          <w:szCs w:val="21"/>
        </w:rPr>
        <w:t>：</w:t>
      </w:r>
    </w:p>
    <w:p>
      <w:pPr>
        <w:widowControl/>
        <w:snapToGrid w:val="0"/>
        <w:spacing w:line="360" w:lineRule="auto"/>
        <w:ind w:firstLine="440" w:firstLineChars="200"/>
        <w:jc w:val="left"/>
        <w:rPr>
          <w:sz w:val="22"/>
          <w:szCs w:val="21"/>
        </w:rPr>
      </w:pPr>
      <w:r>
        <w:rPr>
          <w:sz w:val="22"/>
          <w:szCs w:val="21"/>
        </w:rPr>
        <w:t>a.不同投标人的投标文件由同一单位或个人编制</w:t>
      </w:r>
      <w:r>
        <w:rPr>
          <w:rFonts w:hint="eastAsia"/>
          <w:sz w:val="22"/>
          <w:szCs w:val="21"/>
        </w:rPr>
        <w:t>；</w:t>
      </w:r>
    </w:p>
    <w:p>
      <w:pPr>
        <w:widowControl/>
        <w:snapToGrid w:val="0"/>
        <w:spacing w:line="360" w:lineRule="auto"/>
        <w:ind w:firstLine="440" w:firstLineChars="200"/>
        <w:jc w:val="left"/>
        <w:rPr>
          <w:sz w:val="22"/>
          <w:szCs w:val="21"/>
        </w:rPr>
      </w:pPr>
      <w:r>
        <w:rPr>
          <w:sz w:val="22"/>
          <w:szCs w:val="21"/>
        </w:rPr>
        <w:t>b.不同投标人委托同一单位或个人办理投标事宜</w:t>
      </w:r>
      <w:r>
        <w:rPr>
          <w:rFonts w:hint="eastAsia"/>
          <w:sz w:val="22"/>
          <w:szCs w:val="21"/>
        </w:rPr>
        <w:t>；</w:t>
      </w:r>
    </w:p>
    <w:p>
      <w:pPr>
        <w:widowControl/>
        <w:snapToGrid w:val="0"/>
        <w:spacing w:line="360" w:lineRule="auto"/>
        <w:ind w:firstLine="440" w:firstLineChars="200"/>
        <w:jc w:val="left"/>
        <w:rPr>
          <w:sz w:val="22"/>
          <w:szCs w:val="21"/>
        </w:rPr>
      </w:pPr>
      <w:r>
        <w:rPr>
          <w:rFonts w:hint="eastAsia"/>
          <w:sz w:val="22"/>
          <w:szCs w:val="21"/>
        </w:rPr>
        <w:t>c</w:t>
      </w:r>
      <w:r>
        <w:rPr>
          <w:sz w:val="22"/>
          <w:szCs w:val="21"/>
        </w:rPr>
        <w:t>.不同投标人的投标文件载明的项目管理成员为同一人</w:t>
      </w:r>
      <w:r>
        <w:rPr>
          <w:rFonts w:hint="eastAsia"/>
          <w:sz w:val="22"/>
          <w:szCs w:val="21"/>
        </w:rPr>
        <w:t>；</w:t>
      </w:r>
    </w:p>
    <w:p>
      <w:pPr>
        <w:widowControl/>
        <w:snapToGrid w:val="0"/>
        <w:spacing w:line="360" w:lineRule="auto"/>
        <w:ind w:firstLine="440" w:firstLineChars="200"/>
        <w:jc w:val="left"/>
        <w:rPr>
          <w:sz w:val="22"/>
          <w:szCs w:val="21"/>
        </w:rPr>
      </w:pPr>
      <w:r>
        <w:rPr>
          <w:sz w:val="22"/>
          <w:szCs w:val="21"/>
        </w:rPr>
        <w:t>d.不同投标人的投标文件异常一致或投标报价呈规律性差异</w:t>
      </w:r>
      <w:r>
        <w:rPr>
          <w:rFonts w:hint="eastAsia"/>
          <w:sz w:val="22"/>
          <w:szCs w:val="21"/>
        </w:rPr>
        <w:t>；</w:t>
      </w:r>
    </w:p>
    <w:p>
      <w:pPr>
        <w:widowControl/>
        <w:snapToGrid w:val="0"/>
        <w:spacing w:line="360" w:lineRule="auto"/>
        <w:ind w:firstLine="440" w:firstLineChars="200"/>
        <w:jc w:val="left"/>
        <w:rPr>
          <w:sz w:val="22"/>
          <w:szCs w:val="21"/>
        </w:rPr>
      </w:pPr>
      <w:r>
        <w:rPr>
          <w:sz w:val="22"/>
          <w:szCs w:val="21"/>
        </w:rPr>
        <w:t>e.不同投标人的投标文件相互混装</w:t>
      </w:r>
      <w:r>
        <w:rPr>
          <w:rFonts w:hint="eastAsia"/>
          <w:sz w:val="22"/>
          <w:szCs w:val="21"/>
        </w:rPr>
        <w:t>；</w:t>
      </w:r>
    </w:p>
    <w:p>
      <w:pPr>
        <w:widowControl/>
        <w:snapToGrid w:val="0"/>
        <w:spacing w:line="360" w:lineRule="auto"/>
        <w:ind w:firstLine="440" w:firstLineChars="200"/>
        <w:jc w:val="left"/>
        <w:rPr>
          <w:sz w:val="22"/>
          <w:szCs w:val="21"/>
        </w:rPr>
      </w:pPr>
      <w:r>
        <w:rPr>
          <w:sz w:val="22"/>
          <w:szCs w:val="21"/>
        </w:rPr>
        <w:t>f.不同投标人的投标保证金从同一单位或个人的账户转出。</w:t>
      </w:r>
    </w:p>
    <w:p>
      <w:pPr>
        <w:widowControl/>
        <w:snapToGrid w:val="0"/>
        <w:spacing w:line="360" w:lineRule="auto"/>
        <w:ind w:firstLine="440" w:firstLineChars="200"/>
        <w:jc w:val="left"/>
        <w:rPr>
          <w:sz w:val="22"/>
          <w:szCs w:val="21"/>
        </w:rPr>
      </w:pPr>
      <w:r>
        <w:rPr>
          <w:rFonts w:hint="eastAsia"/>
          <w:sz w:val="22"/>
          <w:szCs w:val="21"/>
        </w:rPr>
        <w:t>（3）</w:t>
      </w:r>
      <w:r>
        <w:rPr>
          <w:sz w:val="22"/>
          <w:szCs w:val="21"/>
        </w:rPr>
        <w:t>有下列情形之一的，属于招标人与投标人串通投标</w:t>
      </w:r>
      <w:r>
        <w:rPr>
          <w:rFonts w:hint="eastAsia"/>
          <w:sz w:val="22"/>
          <w:szCs w:val="21"/>
        </w:rPr>
        <w:t>：</w:t>
      </w:r>
    </w:p>
    <w:p>
      <w:pPr>
        <w:widowControl/>
        <w:snapToGrid w:val="0"/>
        <w:spacing w:line="360" w:lineRule="auto"/>
        <w:ind w:firstLine="440" w:firstLineChars="200"/>
        <w:jc w:val="left"/>
        <w:rPr>
          <w:sz w:val="22"/>
          <w:szCs w:val="21"/>
        </w:rPr>
      </w:pPr>
      <w:r>
        <w:rPr>
          <w:sz w:val="22"/>
          <w:szCs w:val="21"/>
        </w:rPr>
        <w:t>a.招标人在开标前开启投标文件并将有关信息泄露给其他投标人</w:t>
      </w:r>
      <w:r>
        <w:rPr>
          <w:rFonts w:hint="eastAsia"/>
          <w:sz w:val="22"/>
          <w:szCs w:val="21"/>
        </w:rPr>
        <w:t>；</w:t>
      </w:r>
    </w:p>
    <w:p>
      <w:pPr>
        <w:widowControl/>
        <w:snapToGrid w:val="0"/>
        <w:spacing w:line="360" w:lineRule="auto"/>
        <w:ind w:firstLine="440" w:firstLineChars="200"/>
        <w:jc w:val="left"/>
        <w:rPr>
          <w:sz w:val="22"/>
          <w:szCs w:val="21"/>
        </w:rPr>
      </w:pPr>
      <w:r>
        <w:rPr>
          <w:sz w:val="22"/>
          <w:szCs w:val="21"/>
        </w:rPr>
        <w:t>b.招标人直接或间接向投标人泄露标底、评标委员会成员等信息</w:t>
      </w:r>
      <w:r>
        <w:rPr>
          <w:rFonts w:hint="eastAsia"/>
          <w:sz w:val="22"/>
          <w:szCs w:val="21"/>
        </w:rPr>
        <w:t>；</w:t>
      </w:r>
    </w:p>
    <w:p>
      <w:pPr>
        <w:widowControl/>
        <w:snapToGrid w:val="0"/>
        <w:spacing w:line="360" w:lineRule="auto"/>
        <w:ind w:firstLine="440" w:firstLineChars="200"/>
        <w:jc w:val="left"/>
        <w:rPr>
          <w:sz w:val="22"/>
          <w:szCs w:val="21"/>
        </w:rPr>
      </w:pPr>
      <w:r>
        <w:rPr>
          <w:rFonts w:hint="eastAsia"/>
          <w:sz w:val="22"/>
          <w:szCs w:val="21"/>
        </w:rPr>
        <w:t>c</w:t>
      </w:r>
      <w:r>
        <w:rPr>
          <w:sz w:val="22"/>
          <w:szCs w:val="21"/>
        </w:rPr>
        <w:t>.招标人明示或暗示投标人压低或抬高投标报价</w:t>
      </w:r>
      <w:r>
        <w:rPr>
          <w:rFonts w:hint="eastAsia"/>
          <w:sz w:val="22"/>
          <w:szCs w:val="21"/>
        </w:rPr>
        <w:t>；</w:t>
      </w:r>
    </w:p>
    <w:p>
      <w:pPr>
        <w:widowControl/>
        <w:snapToGrid w:val="0"/>
        <w:spacing w:line="360" w:lineRule="auto"/>
        <w:ind w:firstLine="440" w:firstLineChars="200"/>
        <w:jc w:val="left"/>
        <w:rPr>
          <w:sz w:val="22"/>
          <w:szCs w:val="21"/>
        </w:rPr>
      </w:pPr>
      <w:r>
        <w:rPr>
          <w:sz w:val="22"/>
          <w:szCs w:val="21"/>
        </w:rPr>
        <w:t>d.招标人授意投标人撤换、修改投标文件</w:t>
      </w:r>
      <w:r>
        <w:rPr>
          <w:rFonts w:hint="eastAsia"/>
          <w:sz w:val="22"/>
          <w:szCs w:val="21"/>
        </w:rPr>
        <w:t>；</w:t>
      </w:r>
    </w:p>
    <w:p>
      <w:pPr>
        <w:widowControl/>
        <w:snapToGrid w:val="0"/>
        <w:spacing w:line="360" w:lineRule="auto"/>
        <w:ind w:firstLine="440" w:firstLineChars="200"/>
        <w:jc w:val="left"/>
        <w:rPr>
          <w:sz w:val="22"/>
          <w:szCs w:val="21"/>
        </w:rPr>
      </w:pPr>
      <w:r>
        <w:rPr>
          <w:rFonts w:hint="eastAsia"/>
          <w:sz w:val="22"/>
          <w:szCs w:val="21"/>
        </w:rPr>
        <w:t>e</w:t>
      </w:r>
      <w:r>
        <w:rPr>
          <w:sz w:val="22"/>
          <w:szCs w:val="21"/>
        </w:rPr>
        <w:t>.招标人明示或暗示投标人为特定投标人中标提供方便</w:t>
      </w:r>
      <w:r>
        <w:rPr>
          <w:rFonts w:hint="eastAsia"/>
          <w:sz w:val="22"/>
          <w:szCs w:val="21"/>
        </w:rPr>
        <w:t>；</w:t>
      </w:r>
    </w:p>
    <w:p>
      <w:pPr>
        <w:widowControl/>
        <w:snapToGrid w:val="0"/>
        <w:spacing w:line="360" w:lineRule="auto"/>
        <w:ind w:firstLine="440" w:firstLineChars="200"/>
        <w:jc w:val="left"/>
        <w:rPr>
          <w:sz w:val="22"/>
          <w:szCs w:val="21"/>
        </w:rPr>
      </w:pPr>
      <w:r>
        <w:rPr>
          <w:sz w:val="22"/>
          <w:szCs w:val="21"/>
        </w:rPr>
        <w:t>f.招标人与投标人为谋求特定投标人中标而采取的其他串通行为。</w:t>
      </w:r>
    </w:p>
    <w:p>
      <w:pPr>
        <w:widowControl/>
        <w:snapToGrid w:val="0"/>
        <w:spacing w:line="360" w:lineRule="auto"/>
        <w:ind w:firstLine="440" w:firstLineChars="200"/>
        <w:jc w:val="left"/>
        <w:rPr>
          <w:sz w:val="22"/>
          <w:szCs w:val="21"/>
        </w:rPr>
      </w:pPr>
      <w:r>
        <w:rPr>
          <w:rFonts w:hint="eastAsia"/>
          <w:sz w:val="22"/>
          <w:szCs w:val="21"/>
        </w:rPr>
        <w:t>（4）</w:t>
      </w:r>
      <w:r>
        <w:rPr>
          <w:sz w:val="22"/>
          <w:szCs w:val="21"/>
        </w:rPr>
        <w:t>投标人有下列情形之一的，属于弄虚作假的行为</w:t>
      </w:r>
      <w:r>
        <w:rPr>
          <w:rFonts w:hint="eastAsia"/>
          <w:sz w:val="22"/>
          <w:szCs w:val="21"/>
        </w:rPr>
        <w:t>：</w:t>
      </w:r>
    </w:p>
    <w:p>
      <w:pPr>
        <w:widowControl/>
        <w:snapToGrid w:val="0"/>
        <w:spacing w:line="360" w:lineRule="auto"/>
        <w:ind w:firstLine="440" w:firstLineChars="200"/>
        <w:jc w:val="left"/>
        <w:rPr>
          <w:sz w:val="22"/>
          <w:szCs w:val="21"/>
        </w:rPr>
      </w:pPr>
      <w:r>
        <w:rPr>
          <w:sz w:val="22"/>
          <w:szCs w:val="21"/>
        </w:rPr>
        <w:t>a.使用通过受让或租借等方式获取的资格、资质证书投标</w:t>
      </w:r>
      <w:r>
        <w:rPr>
          <w:rFonts w:hint="eastAsia"/>
          <w:sz w:val="22"/>
          <w:szCs w:val="21"/>
        </w:rPr>
        <w:t>；</w:t>
      </w:r>
    </w:p>
    <w:p>
      <w:pPr>
        <w:widowControl/>
        <w:snapToGrid w:val="0"/>
        <w:spacing w:line="360" w:lineRule="auto"/>
        <w:ind w:firstLine="440" w:firstLineChars="200"/>
        <w:jc w:val="left"/>
        <w:rPr>
          <w:sz w:val="22"/>
          <w:szCs w:val="21"/>
        </w:rPr>
      </w:pPr>
      <w:r>
        <w:rPr>
          <w:sz w:val="22"/>
          <w:szCs w:val="21"/>
        </w:rPr>
        <w:t>b.使用伪造、变造的许叮让件</w:t>
      </w:r>
      <w:r>
        <w:rPr>
          <w:rFonts w:hint="eastAsia"/>
          <w:sz w:val="22"/>
          <w:szCs w:val="21"/>
        </w:rPr>
        <w:t>；</w:t>
      </w:r>
    </w:p>
    <w:p>
      <w:pPr>
        <w:widowControl/>
        <w:snapToGrid w:val="0"/>
        <w:spacing w:line="360" w:lineRule="auto"/>
        <w:ind w:firstLine="440" w:firstLineChars="200"/>
        <w:jc w:val="left"/>
        <w:rPr>
          <w:sz w:val="22"/>
          <w:szCs w:val="21"/>
        </w:rPr>
      </w:pPr>
      <w:r>
        <w:rPr>
          <w:rFonts w:hint="eastAsia"/>
          <w:sz w:val="22"/>
          <w:szCs w:val="21"/>
        </w:rPr>
        <w:t>c</w:t>
      </w:r>
      <w:r>
        <w:rPr>
          <w:sz w:val="22"/>
          <w:szCs w:val="21"/>
        </w:rPr>
        <w:t>.提供虚假的业绩</w:t>
      </w:r>
      <w:r>
        <w:rPr>
          <w:rFonts w:hint="eastAsia"/>
          <w:sz w:val="22"/>
          <w:szCs w:val="21"/>
        </w:rPr>
        <w:t>；</w:t>
      </w:r>
    </w:p>
    <w:p>
      <w:pPr>
        <w:widowControl/>
        <w:snapToGrid w:val="0"/>
        <w:spacing w:line="360" w:lineRule="auto"/>
        <w:ind w:firstLine="440" w:firstLineChars="200"/>
        <w:jc w:val="left"/>
        <w:rPr>
          <w:sz w:val="22"/>
          <w:szCs w:val="21"/>
        </w:rPr>
      </w:pPr>
      <w:r>
        <w:rPr>
          <w:sz w:val="22"/>
          <w:szCs w:val="21"/>
        </w:rPr>
        <w:t>d.提供虚假的项目负责人或主要技术人员简历、劳动关系证明</w:t>
      </w:r>
      <w:r>
        <w:rPr>
          <w:rFonts w:hint="eastAsia"/>
          <w:sz w:val="22"/>
          <w:szCs w:val="21"/>
        </w:rPr>
        <w:t>；</w:t>
      </w:r>
    </w:p>
    <w:p>
      <w:pPr>
        <w:widowControl/>
        <w:snapToGrid w:val="0"/>
        <w:spacing w:line="360" w:lineRule="auto"/>
        <w:ind w:firstLine="440" w:firstLineChars="200"/>
        <w:jc w:val="left"/>
        <w:rPr>
          <w:sz w:val="22"/>
          <w:szCs w:val="21"/>
        </w:rPr>
      </w:pPr>
      <w:r>
        <w:rPr>
          <w:sz w:val="22"/>
          <w:szCs w:val="21"/>
        </w:rPr>
        <w:t>e.提供虚假的信用状况:f.其他弄虚作假的行为。</w:t>
      </w:r>
    </w:p>
    <w:p>
      <w:pPr>
        <w:widowControl/>
        <w:snapToGrid w:val="0"/>
        <w:spacing w:line="360" w:lineRule="auto"/>
        <w:jc w:val="left"/>
        <w:outlineLvl w:val="2"/>
        <w:rPr>
          <w:rFonts w:eastAsia="黑体"/>
          <w:kern w:val="0"/>
          <w:sz w:val="22"/>
          <w:szCs w:val="21"/>
        </w:rPr>
      </w:pPr>
      <w:bookmarkStart w:id="49" w:name="_Toc27096"/>
      <w:bookmarkStart w:id="50" w:name="_Toc12506"/>
      <w:bookmarkStart w:id="51" w:name="_Toc6949"/>
      <w:bookmarkStart w:id="52" w:name="_Toc8766"/>
      <w:r>
        <w:rPr>
          <w:rFonts w:eastAsia="黑体"/>
          <w:kern w:val="0"/>
          <w:sz w:val="22"/>
          <w:szCs w:val="21"/>
        </w:rPr>
        <w:t>3.7 投标文件的澄清和说明</w:t>
      </w:r>
      <w:bookmarkEnd w:id="49"/>
      <w:bookmarkEnd w:id="50"/>
      <w:bookmarkEnd w:id="51"/>
      <w:bookmarkEnd w:id="52"/>
    </w:p>
    <w:p>
      <w:pPr>
        <w:widowControl/>
        <w:snapToGrid w:val="0"/>
        <w:spacing w:line="360" w:lineRule="auto"/>
        <w:ind w:firstLine="440" w:firstLineChars="200"/>
        <w:jc w:val="left"/>
        <w:rPr>
          <w:sz w:val="22"/>
          <w:szCs w:val="21"/>
        </w:rPr>
      </w:pPr>
      <w:r>
        <w:rPr>
          <w:sz w:val="22"/>
          <w:szCs w:val="21"/>
        </w:rPr>
        <w:t>3.7.1在评标过程中，评标委员会可以书面形式要求投标人对投标文件中含义个明确的内容、明显文字或计算错误进行书面澄清或说明。评标委员会不接受投标人主动提出的澄清、说明。投标人不按评标委员会要求澄清或说明的，评标委员会应否决其投标。</w:t>
      </w:r>
    </w:p>
    <w:p>
      <w:pPr>
        <w:widowControl/>
        <w:snapToGrid w:val="0"/>
        <w:spacing w:line="360" w:lineRule="auto"/>
        <w:ind w:firstLine="440" w:firstLineChars="200"/>
        <w:jc w:val="left"/>
        <w:rPr>
          <w:sz w:val="22"/>
          <w:szCs w:val="21"/>
        </w:rPr>
      </w:pPr>
      <w:r>
        <w:rPr>
          <w:sz w:val="22"/>
          <w:szCs w:val="21"/>
        </w:rPr>
        <w:t>3.7.2 澄清和说明不得超出投标文件的范围或改变投标文件的实质性内容</w:t>
      </w:r>
      <w:r>
        <w:rPr>
          <w:rFonts w:hint="eastAsia"/>
          <w:sz w:val="22"/>
          <w:szCs w:val="21"/>
        </w:rPr>
        <w:t>（</w:t>
      </w:r>
      <w:r>
        <w:rPr>
          <w:sz w:val="22"/>
          <w:szCs w:val="21"/>
        </w:rPr>
        <w:t>算术性错误的修正除外</w:t>
      </w:r>
      <w:r>
        <w:rPr>
          <w:rFonts w:hint="eastAsia"/>
          <w:sz w:val="22"/>
          <w:szCs w:val="21"/>
        </w:rPr>
        <w:t>）</w:t>
      </w:r>
      <w:r>
        <w:rPr>
          <w:sz w:val="22"/>
          <w:szCs w:val="21"/>
        </w:rPr>
        <w:t>。投标人的书面澄清、说明属于投标文件的组成部分。</w:t>
      </w:r>
    </w:p>
    <w:p>
      <w:pPr>
        <w:widowControl/>
        <w:snapToGrid w:val="0"/>
        <w:spacing w:line="360" w:lineRule="auto"/>
        <w:ind w:firstLine="440" w:firstLineChars="200"/>
        <w:jc w:val="left"/>
        <w:rPr>
          <w:sz w:val="22"/>
          <w:szCs w:val="21"/>
        </w:rPr>
      </w:pPr>
      <w:r>
        <w:rPr>
          <w:sz w:val="22"/>
          <w:szCs w:val="21"/>
        </w:rPr>
        <w:t>3.7.3 评标委员会不得暗示或诱导投标人作出澄清、说明，对投标人提交的澄清、说明有疑问的，可以要求投标人进一步澄清或说明，直至满足评标委员会的要求。</w:t>
      </w:r>
    </w:p>
    <w:p>
      <w:pPr>
        <w:widowControl/>
        <w:snapToGrid w:val="0"/>
        <w:spacing w:line="360" w:lineRule="auto"/>
        <w:ind w:firstLine="440" w:firstLineChars="200"/>
        <w:jc w:val="left"/>
        <w:rPr>
          <w:sz w:val="22"/>
          <w:szCs w:val="21"/>
        </w:rPr>
      </w:pPr>
      <w:r>
        <w:rPr>
          <w:sz w:val="22"/>
          <w:szCs w:val="21"/>
        </w:rPr>
        <w:t>3.7.4凡超出招标文件规定的或给发包人带来未曾要求的利益的变化、偏差或其他因素在评标时不予考虑。</w:t>
      </w:r>
    </w:p>
    <w:p>
      <w:pPr>
        <w:widowControl/>
        <w:snapToGrid w:val="0"/>
        <w:spacing w:line="360" w:lineRule="auto"/>
        <w:jc w:val="left"/>
        <w:outlineLvl w:val="2"/>
        <w:rPr>
          <w:rFonts w:eastAsia="黑体"/>
          <w:kern w:val="0"/>
          <w:sz w:val="22"/>
          <w:szCs w:val="21"/>
        </w:rPr>
      </w:pPr>
      <w:bookmarkStart w:id="53" w:name="_Toc532"/>
      <w:bookmarkStart w:id="54" w:name="_Toc28773"/>
      <w:bookmarkStart w:id="55" w:name="_Toc14284"/>
      <w:bookmarkStart w:id="56" w:name="_Toc20811"/>
      <w:r>
        <w:rPr>
          <w:rFonts w:eastAsia="黑体"/>
          <w:kern w:val="0"/>
          <w:sz w:val="22"/>
          <w:szCs w:val="21"/>
        </w:rPr>
        <w:t>3.8不得否决投标的情形</w:t>
      </w:r>
      <w:bookmarkEnd w:id="53"/>
      <w:bookmarkEnd w:id="54"/>
      <w:bookmarkEnd w:id="55"/>
      <w:bookmarkEnd w:id="56"/>
    </w:p>
    <w:p>
      <w:pPr>
        <w:widowControl/>
        <w:snapToGrid w:val="0"/>
        <w:spacing w:line="360" w:lineRule="auto"/>
        <w:ind w:firstLine="440" w:firstLineChars="200"/>
        <w:jc w:val="left"/>
        <w:rPr>
          <w:sz w:val="22"/>
          <w:szCs w:val="21"/>
        </w:rPr>
      </w:pPr>
      <w:r>
        <w:rPr>
          <w:sz w:val="22"/>
          <w:szCs w:val="21"/>
        </w:rPr>
        <w:t>投标文件存在第.二章</w:t>
      </w:r>
      <w:r>
        <w:rPr>
          <w:rFonts w:hint="eastAsia" w:ascii="宋体" w:hAnsi="宋体" w:cs="宋体"/>
          <w:sz w:val="22"/>
          <w:szCs w:val="21"/>
        </w:rPr>
        <w:t>“投标人须知”第</w:t>
      </w:r>
      <w:r>
        <w:rPr>
          <w:sz w:val="22"/>
          <w:szCs w:val="21"/>
        </w:rPr>
        <w:t>1.12.3项所列情形的</w:t>
      </w:r>
      <w:r>
        <w:rPr>
          <w:rFonts w:hint="eastAsia"/>
          <w:sz w:val="22"/>
          <w:szCs w:val="21"/>
        </w:rPr>
        <w:t>，</w:t>
      </w:r>
      <w:r>
        <w:rPr>
          <w:sz w:val="22"/>
          <w:szCs w:val="21"/>
        </w:rPr>
        <w:t>均视为细微偏差</w:t>
      </w:r>
      <w:r>
        <w:rPr>
          <w:rFonts w:hint="eastAsia"/>
          <w:sz w:val="22"/>
          <w:szCs w:val="21"/>
        </w:rPr>
        <w:t>，</w:t>
      </w:r>
      <w:r>
        <w:rPr>
          <w:sz w:val="22"/>
          <w:szCs w:val="21"/>
        </w:rPr>
        <w:t>评标委员会不得否决投标人的投标，应按照第二章</w:t>
      </w:r>
      <w:r>
        <w:rPr>
          <w:rFonts w:hint="eastAsia" w:ascii="宋体" w:hAnsi="宋体" w:cs="宋体"/>
          <w:sz w:val="22"/>
          <w:szCs w:val="21"/>
        </w:rPr>
        <w:t>“投标人须知”</w:t>
      </w:r>
      <w:r>
        <w:rPr>
          <w:sz w:val="22"/>
          <w:szCs w:val="21"/>
        </w:rPr>
        <w:t>第1.12.4项规定的原则处理。</w:t>
      </w:r>
    </w:p>
    <w:p>
      <w:pPr>
        <w:widowControl/>
        <w:snapToGrid w:val="0"/>
        <w:spacing w:line="360" w:lineRule="auto"/>
        <w:ind w:left="440" w:hanging="440" w:hangingChars="200"/>
        <w:jc w:val="left"/>
        <w:outlineLvl w:val="2"/>
        <w:rPr>
          <w:rFonts w:eastAsia="黑体"/>
          <w:kern w:val="0"/>
          <w:sz w:val="22"/>
          <w:szCs w:val="21"/>
        </w:rPr>
      </w:pPr>
      <w:bookmarkStart w:id="57" w:name="_Toc12642"/>
      <w:bookmarkStart w:id="58" w:name="_Toc28625"/>
      <w:bookmarkStart w:id="59" w:name="_Toc32477"/>
      <w:bookmarkStart w:id="60" w:name="_Toc6592"/>
      <w:r>
        <w:rPr>
          <w:rFonts w:eastAsia="黑体"/>
          <w:kern w:val="0"/>
          <w:sz w:val="22"/>
          <w:szCs w:val="21"/>
        </w:rPr>
        <w:t>3.9评标结果</w:t>
      </w:r>
      <w:bookmarkEnd w:id="57"/>
      <w:bookmarkEnd w:id="58"/>
      <w:bookmarkEnd w:id="59"/>
      <w:bookmarkEnd w:id="60"/>
    </w:p>
    <w:p>
      <w:pPr>
        <w:widowControl/>
        <w:snapToGrid w:val="0"/>
        <w:spacing w:line="360" w:lineRule="auto"/>
        <w:ind w:firstLine="440" w:firstLineChars="200"/>
        <w:jc w:val="left"/>
        <w:rPr>
          <w:sz w:val="22"/>
          <w:szCs w:val="21"/>
        </w:rPr>
      </w:pPr>
      <w:r>
        <w:rPr>
          <w:sz w:val="22"/>
          <w:szCs w:val="21"/>
        </w:rPr>
        <w:t>3.9.1除第二章“</w:t>
      </w:r>
      <w:r>
        <w:rPr>
          <w:rFonts w:hint="eastAsia" w:ascii="宋体" w:hAnsi="宋体" w:cs="宋体"/>
          <w:sz w:val="22"/>
          <w:szCs w:val="21"/>
        </w:rPr>
        <w:t>投标人须知”前附表授权直接确定中标人外，评标委员会按照得分由高到低的顺序推荐中标候选人，并标明排序</w:t>
      </w:r>
      <w:r>
        <w:rPr>
          <w:sz w:val="22"/>
          <w:szCs w:val="21"/>
        </w:rPr>
        <w:t>。</w:t>
      </w:r>
    </w:p>
    <w:p>
      <w:r>
        <w:rPr>
          <w:sz w:val="22"/>
          <w:szCs w:val="21"/>
        </w:rPr>
        <w:t>3.9.2评标委员会完成评标后，应向招标人提交书面评标报告。</w:t>
      </w:r>
    </w:p>
    <w:sectPr>
      <w:headerReference r:id="rId5" w:type="default"/>
      <w:footerReference r:id="rId7" w:type="default"/>
      <w:headerReference r:id="rId6" w:type="even"/>
      <w:footerReference r:id="rId8" w:type="even"/>
      <w:footnotePr>
        <w:numFmt w:val="decimalEnclosedCircleChinese"/>
        <w:numRestart w:val="eachPage"/>
      </w:footnotePr>
      <w:pgSz w:w="11906" w:h="16838"/>
      <w:pgMar w:top="1134" w:right="1134" w:bottom="1134" w:left="1134" w:header="851" w:footer="992" w:gutter="0"/>
      <w:pgBorders>
        <w:top w:val="none" w:sz="0" w:space="0"/>
        <w:left w:val="none" w:sz="0" w:space="0"/>
        <w:bottom w:val="none" w:sz="0" w:space="0"/>
        <w:right w:val="none" w:sz="0" w:space="0"/>
      </w:pgBorders>
      <w:pgNumType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楷体_GB2312">
    <w:altName w:val="楷体"/>
    <w:panose1 w:val="00000000000000000000"/>
    <w:charset w:val="86"/>
    <w:family w:val="modern"/>
    <w:pitch w:val="default"/>
    <w:sig w:usb0="00000000" w:usb1="0000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0000000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文本框 1029"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OqXm5zwAAAAUB&#10;AAAPAAAAAAAAAAEAIAAAACIAAABkcnMvZG93bnJldi54bWxQSwECFAAUAAAACACHTuJAXKXyZLIB&#10;AABOAwAADgAAAAAAAAABACAAAAAeAQAAZHJzL2Uyb0RvYy54bWxQSwUGAAAAAAYABgBZAQAAQgUA&#10;AAAA&#10;">
          <v:path/>
          <v:fill on="f" focussize="0,0"/>
          <v:stroke on="f" joinstyle="miter"/>
          <v:imagedata o:title=""/>
          <o:lock v:ext="edit"/>
          <v:textbox inset="0mm,0mm,0mm,0mm" style="mso-fit-shape-to-text:t;">
            <w:txbxContent>
              <w:p>
                <w:pPr>
                  <w:pStyle w:val="23"/>
                </w:pPr>
                <w:r>
                  <w:fldChar w:fldCharType="begin"/>
                </w:r>
                <w:r>
                  <w:instrText xml:space="preserve"> PAGE  \* MERGEFORMAT </w:instrText>
                </w:r>
                <w:r>
                  <w:fldChar w:fldCharType="separate"/>
                </w:r>
                <w:r>
                  <w:t>86</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_x0000_s3074" o:spid="_x0000_s3074"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OqXm5zwAAAAUBAAAP&#10;AAAAAAAAAAEAIAAAACIAAABkcnMvZG93bnJldi54bWxQSwECFAAUAAAACACHTuJA7371jK8BAABL&#10;AwAADgAAAAAAAAABACAAAAAeAQAAZHJzL2Uyb0RvYy54bWxQSwUGAAAAAAYABgBZAQAAPwUAAAAA&#10;">
          <v:path/>
          <v:fill on="f" focussize="0,0"/>
          <v:stroke on="f" joinstyle="miter"/>
          <v:imagedata o:title=""/>
          <o:lock v:ext="edit"/>
          <v:textbox inset="0mm,0mm,0mm,0mm" style="mso-fit-shape-to-text:t;">
            <w:txbxContent>
              <w:p>
                <w:pPr>
                  <w:pStyle w:val="23"/>
                  <w:rPr>
                    <w:rStyle w:val="41"/>
                  </w:rPr>
                </w:pPr>
                <w:r>
                  <w:rPr>
                    <w:rStyle w:val="41"/>
                  </w:rPr>
                  <w:fldChar w:fldCharType="begin"/>
                </w:r>
                <w:r>
                  <w:rPr>
                    <w:rStyle w:val="41"/>
                  </w:rPr>
                  <w:instrText xml:space="preserve">PAGE  </w:instrText>
                </w:r>
                <w:r>
                  <w:rPr>
                    <w:rStyle w:val="41"/>
                  </w:rPr>
                  <w:fldChar w:fldCharType="separate"/>
                </w:r>
                <w:r>
                  <w:rPr>
                    <w:rStyle w:val="41"/>
                  </w:rPr>
                  <w:t>154</w:t>
                </w:r>
                <w:r>
                  <w:rPr>
                    <w:rStyle w:val="41"/>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center" w:y="1"/>
      <w:rPr>
        <w:rStyle w:val="41"/>
      </w:rPr>
    </w:pPr>
    <w:r>
      <w:rPr>
        <w:rStyle w:val="41"/>
      </w:rPr>
      <w:fldChar w:fldCharType="begin"/>
    </w:r>
    <w:r>
      <w:rPr>
        <w:rStyle w:val="41"/>
      </w:rPr>
      <w:instrText xml:space="preserve">PAGE  </w:instrText>
    </w:r>
    <w:r>
      <w:rPr>
        <w:rStyle w:val="41"/>
      </w:rPr>
      <w:fldChar w:fldCharType="end"/>
    </w:r>
  </w:p>
  <w:p>
    <w:pPr>
      <w:pStyle w:val="2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27"/>
        <w:ind w:left="270" w:hanging="270" w:hangingChars="150"/>
        <w:rPr>
          <w:rFonts w:ascii="Times New Roman" w:hAnsi="Times New Roman"/>
        </w:rPr>
      </w:pPr>
      <w:r>
        <w:rPr>
          <w:rFonts w:ascii="Times New Roman" w:hAnsi="Times New Roman"/>
        </w:rPr>
        <w:footnoteRef/>
      </w:r>
      <w:r>
        <w:rPr>
          <w:rFonts w:hint="eastAsia" w:ascii="Times New Roman" w:hAnsi="Times New Roman"/>
        </w:rPr>
        <w:t>本</w:t>
      </w:r>
      <w:r>
        <w:rPr>
          <w:rFonts w:ascii="Times New Roman" w:hAnsi="Times New Roman"/>
        </w:rPr>
        <w:t>款规定仅适用于根据《关于发布公路工程从业企业资质名录的通知》（厅公路字[2011]114 号）要求，招标人应通过名录对投标人资质条件进行审核的公路设计企业。</w:t>
      </w:r>
    </w:p>
  </w:footnote>
  <w:footnote w:id="1">
    <w:p>
      <w:pPr>
        <w:pStyle w:val="27"/>
        <w:ind w:left="270" w:hanging="270" w:hangingChars="150"/>
        <w:rPr>
          <w:rFonts w:ascii="Times New Roman" w:hAnsi="Times New Roman"/>
        </w:rPr>
      </w:pPr>
      <w:r>
        <w:rPr>
          <w:rFonts w:ascii="Times New Roman" w:hAnsi="Times New Roman"/>
        </w:rPr>
        <w:footnoteRef/>
      </w:r>
      <w:r>
        <w:rPr>
          <w:rFonts w:hint="eastAsia" w:ascii="Times New Roman" w:hAnsi="Times New Roman"/>
        </w:rPr>
        <w:t>本</w:t>
      </w:r>
      <w:r>
        <w:rPr>
          <w:rFonts w:ascii="Times New Roman" w:hAnsi="Times New Roman"/>
        </w:rPr>
        <w:t>款规定仅适用于根据《关于发布公路工程从业企业资质名录的通知》（厅公路字[2011]114 号）要求，招标人应通过名录对投标人资质条件进行审核的公路设计企业。</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wordWrap w:val="0"/>
      <w:jc w:val="right"/>
      <w:rPr>
        <w:sz w:val="17"/>
        <w:szCs w:val="17"/>
      </w:rPr>
    </w:pPr>
    <w:r>
      <w:pict>
        <v:line id="Line 2049" o:spid="_x0000_s3073" o:spt="20" style="position:absolute;left:0pt;margin-left:-3.6pt;margin-top:13.85pt;height:0.05pt;width:420.75pt;z-index:251658240;mso-width-relative:page;mso-height-relative:page;" coordsize="21600,21600" o:gfxdata="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OwDCJ3XAAAACAEAAA8AAAAAAAAAAQAgAAAAIgAAAGRycy9k&#10;b3ducmV2LnhtbFBLAQIUABQAAAAIAIdO4kAaNkq3ygEAAJcDAAAOAAAAAAAAAAEAIAAAACYBAABk&#10;cnMvZTJvRG9jLnhtbFBLBQYAAAAABgAGAFkBAABiBQAAAAA=&#10;">
          <v:path arrowok="t"/>
          <v:fill focussize="0,0"/>
          <v:stroke weight="3.5pt" linestyle="thickThin"/>
          <v:imagedata o:title=""/>
          <o:lock v:ext="edit"/>
        </v:line>
      </w:pict>
    </w:r>
    <w:r>
      <w:rPr>
        <w:rFonts w:hint="eastAsia"/>
        <w:sz w:val="17"/>
        <w:szCs w:val="17"/>
      </w:rPr>
      <w:t>廊坊至涿州高速公路涿州至旧州段路基桥涵工程勘察设计招标资格预审文件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3C6C08"/>
    <w:multiLevelType w:val="singleLevel"/>
    <w:tmpl w:val="283C6C08"/>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1,3"/>
    </o:shapelayout>
  </w:hdrShapeDefaults>
  <w:footnotePr>
    <w:numFmt w:val="decimalEnclosedCircleChinese"/>
    <w:numRestart w:val="eachPage"/>
  </w:foot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20459C"/>
    <w:rsid w:val="000056F4"/>
    <w:rsid w:val="000122D8"/>
    <w:rsid w:val="0001715F"/>
    <w:rsid w:val="000171E2"/>
    <w:rsid w:val="00022E09"/>
    <w:rsid w:val="00023058"/>
    <w:rsid w:val="00025613"/>
    <w:rsid w:val="00027F70"/>
    <w:rsid w:val="0003132A"/>
    <w:rsid w:val="000376AF"/>
    <w:rsid w:val="00040FA3"/>
    <w:rsid w:val="00041A88"/>
    <w:rsid w:val="000426FA"/>
    <w:rsid w:val="00043063"/>
    <w:rsid w:val="0004432F"/>
    <w:rsid w:val="000450A4"/>
    <w:rsid w:val="0005062E"/>
    <w:rsid w:val="00050ABC"/>
    <w:rsid w:val="000515A4"/>
    <w:rsid w:val="0006102F"/>
    <w:rsid w:val="000625FF"/>
    <w:rsid w:val="000758AA"/>
    <w:rsid w:val="00076829"/>
    <w:rsid w:val="000879D4"/>
    <w:rsid w:val="00090044"/>
    <w:rsid w:val="00091CB6"/>
    <w:rsid w:val="000968D7"/>
    <w:rsid w:val="000A5AAC"/>
    <w:rsid w:val="000A6D43"/>
    <w:rsid w:val="000A7E85"/>
    <w:rsid w:val="000B3D86"/>
    <w:rsid w:val="000B419A"/>
    <w:rsid w:val="000B4BB9"/>
    <w:rsid w:val="000B7D6E"/>
    <w:rsid w:val="000B7E91"/>
    <w:rsid w:val="000C0908"/>
    <w:rsid w:val="000C7FB9"/>
    <w:rsid w:val="000E3CB4"/>
    <w:rsid w:val="000F0DA7"/>
    <w:rsid w:val="000F13ED"/>
    <w:rsid w:val="000F2C66"/>
    <w:rsid w:val="000F4CB0"/>
    <w:rsid w:val="000F7E6F"/>
    <w:rsid w:val="0010657C"/>
    <w:rsid w:val="00106CEA"/>
    <w:rsid w:val="00107E1A"/>
    <w:rsid w:val="00110F98"/>
    <w:rsid w:val="00111DE5"/>
    <w:rsid w:val="0011623B"/>
    <w:rsid w:val="00117901"/>
    <w:rsid w:val="00120EB3"/>
    <w:rsid w:val="0012762F"/>
    <w:rsid w:val="00127EC5"/>
    <w:rsid w:val="00130098"/>
    <w:rsid w:val="001404CF"/>
    <w:rsid w:val="0014249C"/>
    <w:rsid w:val="001460DF"/>
    <w:rsid w:val="001465A5"/>
    <w:rsid w:val="00146A6B"/>
    <w:rsid w:val="00150B12"/>
    <w:rsid w:val="00151E20"/>
    <w:rsid w:val="00153985"/>
    <w:rsid w:val="00156B49"/>
    <w:rsid w:val="001618DE"/>
    <w:rsid w:val="001625E6"/>
    <w:rsid w:val="00163048"/>
    <w:rsid w:val="00172773"/>
    <w:rsid w:val="001737A0"/>
    <w:rsid w:val="00173D0B"/>
    <w:rsid w:val="00177D5D"/>
    <w:rsid w:val="00180FB8"/>
    <w:rsid w:val="001829B7"/>
    <w:rsid w:val="00190CCB"/>
    <w:rsid w:val="00193D1D"/>
    <w:rsid w:val="00194426"/>
    <w:rsid w:val="001975FB"/>
    <w:rsid w:val="001A0645"/>
    <w:rsid w:val="001A2711"/>
    <w:rsid w:val="001A3349"/>
    <w:rsid w:val="001A5E7F"/>
    <w:rsid w:val="001B2364"/>
    <w:rsid w:val="001B6557"/>
    <w:rsid w:val="001C2E3E"/>
    <w:rsid w:val="001C45C2"/>
    <w:rsid w:val="001C607C"/>
    <w:rsid w:val="001D3927"/>
    <w:rsid w:val="001D6F29"/>
    <w:rsid w:val="001E0225"/>
    <w:rsid w:val="001E0D88"/>
    <w:rsid w:val="001E432A"/>
    <w:rsid w:val="001E52FF"/>
    <w:rsid w:val="001F10DC"/>
    <w:rsid w:val="001F4334"/>
    <w:rsid w:val="001F4C79"/>
    <w:rsid w:val="001F7C1F"/>
    <w:rsid w:val="002002AA"/>
    <w:rsid w:val="0020350A"/>
    <w:rsid w:val="0020375B"/>
    <w:rsid w:val="0020459C"/>
    <w:rsid w:val="002046F1"/>
    <w:rsid w:val="0020715C"/>
    <w:rsid w:val="00214C7C"/>
    <w:rsid w:val="002168E7"/>
    <w:rsid w:val="00221132"/>
    <w:rsid w:val="00221F3C"/>
    <w:rsid w:val="00233337"/>
    <w:rsid w:val="002375E2"/>
    <w:rsid w:val="00237DE5"/>
    <w:rsid w:val="002400A4"/>
    <w:rsid w:val="00250286"/>
    <w:rsid w:val="0025072C"/>
    <w:rsid w:val="00252616"/>
    <w:rsid w:val="002543D6"/>
    <w:rsid w:val="002556F4"/>
    <w:rsid w:val="00255FEB"/>
    <w:rsid w:val="00265439"/>
    <w:rsid w:val="0026575F"/>
    <w:rsid w:val="00271037"/>
    <w:rsid w:val="00272CED"/>
    <w:rsid w:val="0028229E"/>
    <w:rsid w:val="00283C15"/>
    <w:rsid w:val="002840EE"/>
    <w:rsid w:val="00285D88"/>
    <w:rsid w:val="00287254"/>
    <w:rsid w:val="002938A3"/>
    <w:rsid w:val="00296700"/>
    <w:rsid w:val="00297FD2"/>
    <w:rsid w:val="002A0184"/>
    <w:rsid w:val="002A25F6"/>
    <w:rsid w:val="002A44B3"/>
    <w:rsid w:val="002A6B09"/>
    <w:rsid w:val="002B0DC2"/>
    <w:rsid w:val="002B14E8"/>
    <w:rsid w:val="002B1717"/>
    <w:rsid w:val="002B26BF"/>
    <w:rsid w:val="002B4DC4"/>
    <w:rsid w:val="002B693F"/>
    <w:rsid w:val="002C02AE"/>
    <w:rsid w:val="002C62A8"/>
    <w:rsid w:val="002C6760"/>
    <w:rsid w:val="002C77B9"/>
    <w:rsid w:val="002C7A66"/>
    <w:rsid w:val="002D0206"/>
    <w:rsid w:val="002D0276"/>
    <w:rsid w:val="002D4663"/>
    <w:rsid w:val="002E2657"/>
    <w:rsid w:val="002E66F9"/>
    <w:rsid w:val="002F0AE3"/>
    <w:rsid w:val="002F1FDA"/>
    <w:rsid w:val="002F78A6"/>
    <w:rsid w:val="00301E35"/>
    <w:rsid w:val="00302391"/>
    <w:rsid w:val="00303EA6"/>
    <w:rsid w:val="00307B2C"/>
    <w:rsid w:val="00313255"/>
    <w:rsid w:val="00313DEE"/>
    <w:rsid w:val="00321FCA"/>
    <w:rsid w:val="00326BC0"/>
    <w:rsid w:val="00327AAD"/>
    <w:rsid w:val="00330317"/>
    <w:rsid w:val="00332404"/>
    <w:rsid w:val="00341B20"/>
    <w:rsid w:val="00350CA4"/>
    <w:rsid w:val="00362730"/>
    <w:rsid w:val="00363AB7"/>
    <w:rsid w:val="0036554B"/>
    <w:rsid w:val="00367F32"/>
    <w:rsid w:val="00372DD4"/>
    <w:rsid w:val="003753BB"/>
    <w:rsid w:val="00376370"/>
    <w:rsid w:val="00377D3C"/>
    <w:rsid w:val="00384BB5"/>
    <w:rsid w:val="00392672"/>
    <w:rsid w:val="00393770"/>
    <w:rsid w:val="00394031"/>
    <w:rsid w:val="003A0206"/>
    <w:rsid w:val="003B0BAB"/>
    <w:rsid w:val="003B12F7"/>
    <w:rsid w:val="003C6001"/>
    <w:rsid w:val="003C6B70"/>
    <w:rsid w:val="003D1CEA"/>
    <w:rsid w:val="003D33A9"/>
    <w:rsid w:val="003D4BDC"/>
    <w:rsid w:val="003E4EE9"/>
    <w:rsid w:val="003E6AC4"/>
    <w:rsid w:val="003F7AF4"/>
    <w:rsid w:val="00401188"/>
    <w:rsid w:val="0040347B"/>
    <w:rsid w:val="004071D7"/>
    <w:rsid w:val="0040783B"/>
    <w:rsid w:val="0041040C"/>
    <w:rsid w:val="004151A2"/>
    <w:rsid w:val="004214D9"/>
    <w:rsid w:val="00421D22"/>
    <w:rsid w:val="0042256B"/>
    <w:rsid w:val="0042300C"/>
    <w:rsid w:val="004375EB"/>
    <w:rsid w:val="00440D53"/>
    <w:rsid w:val="00441FCB"/>
    <w:rsid w:val="00447463"/>
    <w:rsid w:val="00450EAB"/>
    <w:rsid w:val="00451B23"/>
    <w:rsid w:val="00455B94"/>
    <w:rsid w:val="004560F5"/>
    <w:rsid w:val="00457A39"/>
    <w:rsid w:val="004676FA"/>
    <w:rsid w:val="00472F60"/>
    <w:rsid w:val="00473123"/>
    <w:rsid w:val="0047433C"/>
    <w:rsid w:val="0047740A"/>
    <w:rsid w:val="00480B35"/>
    <w:rsid w:val="0048191B"/>
    <w:rsid w:val="00483421"/>
    <w:rsid w:val="00487FBE"/>
    <w:rsid w:val="00492884"/>
    <w:rsid w:val="00492F08"/>
    <w:rsid w:val="004A00F1"/>
    <w:rsid w:val="004A0EEB"/>
    <w:rsid w:val="004A0F94"/>
    <w:rsid w:val="004A1A0F"/>
    <w:rsid w:val="004A218E"/>
    <w:rsid w:val="004B2C67"/>
    <w:rsid w:val="004B3DCB"/>
    <w:rsid w:val="004B65DF"/>
    <w:rsid w:val="004C72EC"/>
    <w:rsid w:val="004C7B78"/>
    <w:rsid w:val="004D5B1C"/>
    <w:rsid w:val="004D66FC"/>
    <w:rsid w:val="004D6844"/>
    <w:rsid w:val="004D7566"/>
    <w:rsid w:val="004E2EA4"/>
    <w:rsid w:val="004E439B"/>
    <w:rsid w:val="004F3957"/>
    <w:rsid w:val="00503DDB"/>
    <w:rsid w:val="005047AF"/>
    <w:rsid w:val="00504EDC"/>
    <w:rsid w:val="00506B64"/>
    <w:rsid w:val="00512A00"/>
    <w:rsid w:val="00514713"/>
    <w:rsid w:val="005171A2"/>
    <w:rsid w:val="00517429"/>
    <w:rsid w:val="0052150B"/>
    <w:rsid w:val="00524047"/>
    <w:rsid w:val="0052514B"/>
    <w:rsid w:val="00525200"/>
    <w:rsid w:val="005339DD"/>
    <w:rsid w:val="00541E1F"/>
    <w:rsid w:val="00543EA8"/>
    <w:rsid w:val="00544808"/>
    <w:rsid w:val="00546661"/>
    <w:rsid w:val="00547DB1"/>
    <w:rsid w:val="00550D0B"/>
    <w:rsid w:val="005518E5"/>
    <w:rsid w:val="00552D5E"/>
    <w:rsid w:val="00554193"/>
    <w:rsid w:val="00556664"/>
    <w:rsid w:val="00560127"/>
    <w:rsid w:val="005635F2"/>
    <w:rsid w:val="00563DE4"/>
    <w:rsid w:val="00564965"/>
    <w:rsid w:val="00567982"/>
    <w:rsid w:val="00567F44"/>
    <w:rsid w:val="0057219F"/>
    <w:rsid w:val="00574715"/>
    <w:rsid w:val="005759E5"/>
    <w:rsid w:val="00577683"/>
    <w:rsid w:val="005777C7"/>
    <w:rsid w:val="00592069"/>
    <w:rsid w:val="005948DF"/>
    <w:rsid w:val="00594E27"/>
    <w:rsid w:val="005A4226"/>
    <w:rsid w:val="005A4C3B"/>
    <w:rsid w:val="005A772A"/>
    <w:rsid w:val="005A7AF9"/>
    <w:rsid w:val="005B0758"/>
    <w:rsid w:val="005B22CE"/>
    <w:rsid w:val="005B38A0"/>
    <w:rsid w:val="005C049F"/>
    <w:rsid w:val="005C1100"/>
    <w:rsid w:val="005C23B7"/>
    <w:rsid w:val="005C2E26"/>
    <w:rsid w:val="005C4D11"/>
    <w:rsid w:val="005D07D2"/>
    <w:rsid w:val="005D0C39"/>
    <w:rsid w:val="005D14DE"/>
    <w:rsid w:val="005D5526"/>
    <w:rsid w:val="005D5AB0"/>
    <w:rsid w:val="005E052B"/>
    <w:rsid w:val="005E07C5"/>
    <w:rsid w:val="005E0C96"/>
    <w:rsid w:val="005E34AA"/>
    <w:rsid w:val="005E384D"/>
    <w:rsid w:val="005E44F6"/>
    <w:rsid w:val="005E4D83"/>
    <w:rsid w:val="005E7FC7"/>
    <w:rsid w:val="005F28F2"/>
    <w:rsid w:val="005F3987"/>
    <w:rsid w:val="005F50BC"/>
    <w:rsid w:val="005F7483"/>
    <w:rsid w:val="00600FAB"/>
    <w:rsid w:val="00602EAB"/>
    <w:rsid w:val="00603EEF"/>
    <w:rsid w:val="00606567"/>
    <w:rsid w:val="00607837"/>
    <w:rsid w:val="006162C5"/>
    <w:rsid w:val="006179D2"/>
    <w:rsid w:val="00622FE3"/>
    <w:rsid w:val="00623C03"/>
    <w:rsid w:val="0062716B"/>
    <w:rsid w:val="006310CA"/>
    <w:rsid w:val="00635A16"/>
    <w:rsid w:val="00640859"/>
    <w:rsid w:val="00644C62"/>
    <w:rsid w:val="00646778"/>
    <w:rsid w:val="006473E0"/>
    <w:rsid w:val="00651D13"/>
    <w:rsid w:val="00654C66"/>
    <w:rsid w:val="006578B0"/>
    <w:rsid w:val="006661B6"/>
    <w:rsid w:val="00666B02"/>
    <w:rsid w:val="00667CCC"/>
    <w:rsid w:val="0067147B"/>
    <w:rsid w:val="006762B7"/>
    <w:rsid w:val="00680F98"/>
    <w:rsid w:val="00684981"/>
    <w:rsid w:val="006859F5"/>
    <w:rsid w:val="00691E0C"/>
    <w:rsid w:val="006927A0"/>
    <w:rsid w:val="006931CE"/>
    <w:rsid w:val="0069444D"/>
    <w:rsid w:val="006979E6"/>
    <w:rsid w:val="00697C9B"/>
    <w:rsid w:val="006A49D1"/>
    <w:rsid w:val="006A537E"/>
    <w:rsid w:val="006A53E4"/>
    <w:rsid w:val="006A63EB"/>
    <w:rsid w:val="006A655F"/>
    <w:rsid w:val="006B069F"/>
    <w:rsid w:val="006B1E7B"/>
    <w:rsid w:val="006B1FC5"/>
    <w:rsid w:val="006B5D8A"/>
    <w:rsid w:val="006B688D"/>
    <w:rsid w:val="006C626D"/>
    <w:rsid w:val="006C6781"/>
    <w:rsid w:val="006D4121"/>
    <w:rsid w:val="006D4236"/>
    <w:rsid w:val="006D4B43"/>
    <w:rsid w:val="006D534E"/>
    <w:rsid w:val="006D6B08"/>
    <w:rsid w:val="006E0D01"/>
    <w:rsid w:val="006E1510"/>
    <w:rsid w:val="006E3017"/>
    <w:rsid w:val="006E301C"/>
    <w:rsid w:val="006E70F0"/>
    <w:rsid w:val="006F0F94"/>
    <w:rsid w:val="006F4836"/>
    <w:rsid w:val="006F787C"/>
    <w:rsid w:val="006F7916"/>
    <w:rsid w:val="0070253F"/>
    <w:rsid w:val="00702D16"/>
    <w:rsid w:val="007173F0"/>
    <w:rsid w:val="00717FBC"/>
    <w:rsid w:val="00720EB6"/>
    <w:rsid w:val="007215B0"/>
    <w:rsid w:val="00722DB5"/>
    <w:rsid w:val="00724F0A"/>
    <w:rsid w:val="007261FD"/>
    <w:rsid w:val="00732316"/>
    <w:rsid w:val="00736169"/>
    <w:rsid w:val="00737CB0"/>
    <w:rsid w:val="00741129"/>
    <w:rsid w:val="00743907"/>
    <w:rsid w:val="00746A1A"/>
    <w:rsid w:val="00750D94"/>
    <w:rsid w:val="0075246E"/>
    <w:rsid w:val="00753744"/>
    <w:rsid w:val="00754FC6"/>
    <w:rsid w:val="00755800"/>
    <w:rsid w:val="00756056"/>
    <w:rsid w:val="007605F4"/>
    <w:rsid w:val="00764A70"/>
    <w:rsid w:val="00767018"/>
    <w:rsid w:val="007673FB"/>
    <w:rsid w:val="00767D9A"/>
    <w:rsid w:val="00771CBF"/>
    <w:rsid w:val="00771D23"/>
    <w:rsid w:val="007738BA"/>
    <w:rsid w:val="007813C4"/>
    <w:rsid w:val="00781636"/>
    <w:rsid w:val="007817AB"/>
    <w:rsid w:val="00781EE9"/>
    <w:rsid w:val="007821B5"/>
    <w:rsid w:val="00784850"/>
    <w:rsid w:val="00784FEA"/>
    <w:rsid w:val="00785008"/>
    <w:rsid w:val="007868DF"/>
    <w:rsid w:val="00787EE7"/>
    <w:rsid w:val="00792A11"/>
    <w:rsid w:val="007934AB"/>
    <w:rsid w:val="00795CA2"/>
    <w:rsid w:val="007A0400"/>
    <w:rsid w:val="007A39C6"/>
    <w:rsid w:val="007A7BBC"/>
    <w:rsid w:val="007B10A8"/>
    <w:rsid w:val="007B21AC"/>
    <w:rsid w:val="007B27CF"/>
    <w:rsid w:val="007B35C8"/>
    <w:rsid w:val="007C4182"/>
    <w:rsid w:val="007C4CD7"/>
    <w:rsid w:val="007C6C7A"/>
    <w:rsid w:val="007D31EE"/>
    <w:rsid w:val="007D3A0C"/>
    <w:rsid w:val="007D3AC5"/>
    <w:rsid w:val="007D4527"/>
    <w:rsid w:val="007D7CBD"/>
    <w:rsid w:val="007E2CB5"/>
    <w:rsid w:val="007E3237"/>
    <w:rsid w:val="007E6CC7"/>
    <w:rsid w:val="007F4F04"/>
    <w:rsid w:val="007F563B"/>
    <w:rsid w:val="0080252E"/>
    <w:rsid w:val="00802E39"/>
    <w:rsid w:val="0080324C"/>
    <w:rsid w:val="00806546"/>
    <w:rsid w:val="0082148F"/>
    <w:rsid w:val="008215FB"/>
    <w:rsid w:val="008224B8"/>
    <w:rsid w:val="00826E18"/>
    <w:rsid w:val="00827306"/>
    <w:rsid w:val="008302F0"/>
    <w:rsid w:val="0083345C"/>
    <w:rsid w:val="0083566C"/>
    <w:rsid w:val="00835C95"/>
    <w:rsid w:val="00853DE9"/>
    <w:rsid w:val="0085671F"/>
    <w:rsid w:val="00864867"/>
    <w:rsid w:val="008706B0"/>
    <w:rsid w:val="008720AD"/>
    <w:rsid w:val="00880071"/>
    <w:rsid w:val="008824F5"/>
    <w:rsid w:val="00882CC5"/>
    <w:rsid w:val="00882F89"/>
    <w:rsid w:val="008901E5"/>
    <w:rsid w:val="00892EB7"/>
    <w:rsid w:val="0089446C"/>
    <w:rsid w:val="0089665E"/>
    <w:rsid w:val="0089769D"/>
    <w:rsid w:val="008A4047"/>
    <w:rsid w:val="008A4AE7"/>
    <w:rsid w:val="008A5767"/>
    <w:rsid w:val="008A5AD8"/>
    <w:rsid w:val="008A648F"/>
    <w:rsid w:val="008B0CF2"/>
    <w:rsid w:val="008B1C4D"/>
    <w:rsid w:val="008B4ACA"/>
    <w:rsid w:val="008B7B3D"/>
    <w:rsid w:val="008C1F28"/>
    <w:rsid w:val="008C2ED5"/>
    <w:rsid w:val="008C72AB"/>
    <w:rsid w:val="008D2CED"/>
    <w:rsid w:val="008D31E6"/>
    <w:rsid w:val="008D7DE7"/>
    <w:rsid w:val="008E1C26"/>
    <w:rsid w:val="008E586D"/>
    <w:rsid w:val="008E6179"/>
    <w:rsid w:val="008E6A09"/>
    <w:rsid w:val="008F2637"/>
    <w:rsid w:val="008F65BC"/>
    <w:rsid w:val="008F69A3"/>
    <w:rsid w:val="008F7AF9"/>
    <w:rsid w:val="00901B31"/>
    <w:rsid w:val="00906903"/>
    <w:rsid w:val="0091332C"/>
    <w:rsid w:val="009133E9"/>
    <w:rsid w:val="009163BB"/>
    <w:rsid w:val="00924453"/>
    <w:rsid w:val="00926341"/>
    <w:rsid w:val="009269E9"/>
    <w:rsid w:val="00926C10"/>
    <w:rsid w:val="00933C6A"/>
    <w:rsid w:val="009363F6"/>
    <w:rsid w:val="009404C8"/>
    <w:rsid w:val="00940802"/>
    <w:rsid w:val="0094483F"/>
    <w:rsid w:val="0094618C"/>
    <w:rsid w:val="00946C57"/>
    <w:rsid w:val="00947A22"/>
    <w:rsid w:val="00947CEF"/>
    <w:rsid w:val="00950160"/>
    <w:rsid w:val="00951B42"/>
    <w:rsid w:val="00955C37"/>
    <w:rsid w:val="009651AF"/>
    <w:rsid w:val="00965B1E"/>
    <w:rsid w:val="00967458"/>
    <w:rsid w:val="00972D72"/>
    <w:rsid w:val="00972F64"/>
    <w:rsid w:val="00974291"/>
    <w:rsid w:val="009777A0"/>
    <w:rsid w:val="0098074B"/>
    <w:rsid w:val="00980936"/>
    <w:rsid w:val="0098164D"/>
    <w:rsid w:val="00984B4D"/>
    <w:rsid w:val="009923EE"/>
    <w:rsid w:val="00995622"/>
    <w:rsid w:val="009A00EF"/>
    <w:rsid w:val="009A076D"/>
    <w:rsid w:val="009A1EED"/>
    <w:rsid w:val="009A3FB7"/>
    <w:rsid w:val="009A68FB"/>
    <w:rsid w:val="009B3582"/>
    <w:rsid w:val="009B5C19"/>
    <w:rsid w:val="009C0BED"/>
    <w:rsid w:val="009C378D"/>
    <w:rsid w:val="009D1F5C"/>
    <w:rsid w:val="009D46F6"/>
    <w:rsid w:val="009D4FBB"/>
    <w:rsid w:val="009D57DB"/>
    <w:rsid w:val="009E5087"/>
    <w:rsid w:val="009E6BE6"/>
    <w:rsid w:val="009F0C15"/>
    <w:rsid w:val="009F0E89"/>
    <w:rsid w:val="009F418F"/>
    <w:rsid w:val="009F6A2E"/>
    <w:rsid w:val="009F7932"/>
    <w:rsid w:val="00A00117"/>
    <w:rsid w:val="00A0365E"/>
    <w:rsid w:val="00A10F35"/>
    <w:rsid w:val="00A2149E"/>
    <w:rsid w:val="00A23B94"/>
    <w:rsid w:val="00A2640C"/>
    <w:rsid w:val="00A30A26"/>
    <w:rsid w:val="00A311ED"/>
    <w:rsid w:val="00A3476C"/>
    <w:rsid w:val="00A34B1A"/>
    <w:rsid w:val="00A360ED"/>
    <w:rsid w:val="00A36E2B"/>
    <w:rsid w:val="00A3793F"/>
    <w:rsid w:val="00A40618"/>
    <w:rsid w:val="00A44E5D"/>
    <w:rsid w:val="00A45448"/>
    <w:rsid w:val="00A47662"/>
    <w:rsid w:val="00A478AA"/>
    <w:rsid w:val="00A47ECD"/>
    <w:rsid w:val="00A53FFD"/>
    <w:rsid w:val="00A57891"/>
    <w:rsid w:val="00A6657E"/>
    <w:rsid w:val="00A71554"/>
    <w:rsid w:val="00A73777"/>
    <w:rsid w:val="00A867B4"/>
    <w:rsid w:val="00A87AEA"/>
    <w:rsid w:val="00A87CB0"/>
    <w:rsid w:val="00A9003A"/>
    <w:rsid w:val="00A9086C"/>
    <w:rsid w:val="00A91903"/>
    <w:rsid w:val="00AA03AD"/>
    <w:rsid w:val="00AA0454"/>
    <w:rsid w:val="00AA1637"/>
    <w:rsid w:val="00AA1840"/>
    <w:rsid w:val="00AA52EC"/>
    <w:rsid w:val="00AA705F"/>
    <w:rsid w:val="00AB7DF7"/>
    <w:rsid w:val="00AC0094"/>
    <w:rsid w:val="00AC2F3F"/>
    <w:rsid w:val="00AC567F"/>
    <w:rsid w:val="00AD1A28"/>
    <w:rsid w:val="00AD33E4"/>
    <w:rsid w:val="00AD35AC"/>
    <w:rsid w:val="00AD50ED"/>
    <w:rsid w:val="00AD5664"/>
    <w:rsid w:val="00AE28E9"/>
    <w:rsid w:val="00AE2BE1"/>
    <w:rsid w:val="00AE4E84"/>
    <w:rsid w:val="00AF07E1"/>
    <w:rsid w:val="00AF14BB"/>
    <w:rsid w:val="00AF38C8"/>
    <w:rsid w:val="00AF5BDB"/>
    <w:rsid w:val="00AF67BC"/>
    <w:rsid w:val="00AF73CF"/>
    <w:rsid w:val="00B000BA"/>
    <w:rsid w:val="00B01962"/>
    <w:rsid w:val="00B05268"/>
    <w:rsid w:val="00B05AC0"/>
    <w:rsid w:val="00B07DC9"/>
    <w:rsid w:val="00B07E15"/>
    <w:rsid w:val="00B12009"/>
    <w:rsid w:val="00B12513"/>
    <w:rsid w:val="00B1550C"/>
    <w:rsid w:val="00B162B6"/>
    <w:rsid w:val="00B16F46"/>
    <w:rsid w:val="00B25355"/>
    <w:rsid w:val="00B309A2"/>
    <w:rsid w:val="00B34DA1"/>
    <w:rsid w:val="00B37304"/>
    <w:rsid w:val="00B447E7"/>
    <w:rsid w:val="00B44D9F"/>
    <w:rsid w:val="00B508AA"/>
    <w:rsid w:val="00B54825"/>
    <w:rsid w:val="00B606F5"/>
    <w:rsid w:val="00B61D22"/>
    <w:rsid w:val="00B63288"/>
    <w:rsid w:val="00B634CB"/>
    <w:rsid w:val="00B739E3"/>
    <w:rsid w:val="00B82789"/>
    <w:rsid w:val="00B83D6A"/>
    <w:rsid w:val="00B85A1F"/>
    <w:rsid w:val="00B93798"/>
    <w:rsid w:val="00B93F26"/>
    <w:rsid w:val="00B94FAF"/>
    <w:rsid w:val="00B9712E"/>
    <w:rsid w:val="00B978C5"/>
    <w:rsid w:val="00BA20FA"/>
    <w:rsid w:val="00BA4456"/>
    <w:rsid w:val="00BA5B66"/>
    <w:rsid w:val="00BA785C"/>
    <w:rsid w:val="00BA7D33"/>
    <w:rsid w:val="00BB5AF2"/>
    <w:rsid w:val="00BB5DEB"/>
    <w:rsid w:val="00BB6B55"/>
    <w:rsid w:val="00BC1BC3"/>
    <w:rsid w:val="00BC2933"/>
    <w:rsid w:val="00BC5307"/>
    <w:rsid w:val="00BC7B7B"/>
    <w:rsid w:val="00BD1275"/>
    <w:rsid w:val="00BD40D3"/>
    <w:rsid w:val="00BD46DB"/>
    <w:rsid w:val="00BD686D"/>
    <w:rsid w:val="00BE01A2"/>
    <w:rsid w:val="00BE0763"/>
    <w:rsid w:val="00BE1ABF"/>
    <w:rsid w:val="00BE30BE"/>
    <w:rsid w:val="00BE737D"/>
    <w:rsid w:val="00BF11D7"/>
    <w:rsid w:val="00BF6508"/>
    <w:rsid w:val="00C004FE"/>
    <w:rsid w:val="00C01342"/>
    <w:rsid w:val="00C0280D"/>
    <w:rsid w:val="00C03594"/>
    <w:rsid w:val="00C07E49"/>
    <w:rsid w:val="00C159ED"/>
    <w:rsid w:val="00C20712"/>
    <w:rsid w:val="00C22DE1"/>
    <w:rsid w:val="00C30F71"/>
    <w:rsid w:val="00C40020"/>
    <w:rsid w:val="00C4042F"/>
    <w:rsid w:val="00C404BD"/>
    <w:rsid w:val="00C40B35"/>
    <w:rsid w:val="00C41AE9"/>
    <w:rsid w:val="00C43CFE"/>
    <w:rsid w:val="00C466B3"/>
    <w:rsid w:val="00C46ED4"/>
    <w:rsid w:val="00C47383"/>
    <w:rsid w:val="00C5001B"/>
    <w:rsid w:val="00C51A58"/>
    <w:rsid w:val="00C52FA1"/>
    <w:rsid w:val="00C6067B"/>
    <w:rsid w:val="00C60C39"/>
    <w:rsid w:val="00C67179"/>
    <w:rsid w:val="00C67787"/>
    <w:rsid w:val="00C72916"/>
    <w:rsid w:val="00C75467"/>
    <w:rsid w:val="00C86E8C"/>
    <w:rsid w:val="00C918BA"/>
    <w:rsid w:val="00C95932"/>
    <w:rsid w:val="00C968C9"/>
    <w:rsid w:val="00CA1038"/>
    <w:rsid w:val="00CA2A61"/>
    <w:rsid w:val="00CA5F7B"/>
    <w:rsid w:val="00CB1DCE"/>
    <w:rsid w:val="00CB2489"/>
    <w:rsid w:val="00CB6033"/>
    <w:rsid w:val="00CB69F7"/>
    <w:rsid w:val="00CB7D03"/>
    <w:rsid w:val="00CC0630"/>
    <w:rsid w:val="00CC07B7"/>
    <w:rsid w:val="00CC222A"/>
    <w:rsid w:val="00CC3DD6"/>
    <w:rsid w:val="00CC5BAC"/>
    <w:rsid w:val="00CC6C01"/>
    <w:rsid w:val="00CD0B3B"/>
    <w:rsid w:val="00CD1068"/>
    <w:rsid w:val="00CD17CA"/>
    <w:rsid w:val="00CD2210"/>
    <w:rsid w:val="00CD241F"/>
    <w:rsid w:val="00CD306A"/>
    <w:rsid w:val="00CE242D"/>
    <w:rsid w:val="00CE4463"/>
    <w:rsid w:val="00CE44AD"/>
    <w:rsid w:val="00CE57C5"/>
    <w:rsid w:val="00CF3A38"/>
    <w:rsid w:val="00CF45B9"/>
    <w:rsid w:val="00D03BDF"/>
    <w:rsid w:val="00D066AC"/>
    <w:rsid w:val="00D06C30"/>
    <w:rsid w:val="00D16D50"/>
    <w:rsid w:val="00D20021"/>
    <w:rsid w:val="00D2554F"/>
    <w:rsid w:val="00D257A8"/>
    <w:rsid w:val="00D26695"/>
    <w:rsid w:val="00D30D02"/>
    <w:rsid w:val="00D31ACF"/>
    <w:rsid w:val="00D34AB7"/>
    <w:rsid w:val="00D36872"/>
    <w:rsid w:val="00D37E68"/>
    <w:rsid w:val="00D464AB"/>
    <w:rsid w:val="00D50E35"/>
    <w:rsid w:val="00D519D6"/>
    <w:rsid w:val="00D52BF5"/>
    <w:rsid w:val="00D557C7"/>
    <w:rsid w:val="00D57797"/>
    <w:rsid w:val="00D57807"/>
    <w:rsid w:val="00D62B62"/>
    <w:rsid w:val="00D62E00"/>
    <w:rsid w:val="00D64D72"/>
    <w:rsid w:val="00D6528C"/>
    <w:rsid w:val="00D70726"/>
    <w:rsid w:val="00D75F28"/>
    <w:rsid w:val="00D766D7"/>
    <w:rsid w:val="00D80338"/>
    <w:rsid w:val="00D82181"/>
    <w:rsid w:val="00D82271"/>
    <w:rsid w:val="00D83F1B"/>
    <w:rsid w:val="00D90E27"/>
    <w:rsid w:val="00D921A1"/>
    <w:rsid w:val="00D94070"/>
    <w:rsid w:val="00D94BF7"/>
    <w:rsid w:val="00DA0E2E"/>
    <w:rsid w:val="00DA2EED"/>
    <w:rsid w:val="00DA30B4"/>
    <w:rsid w:val="00DA3FEA"/>
    <w:rsid w:val="00DB1CBA"/>
    <w:rsid w:val="00DB2DBD"/>
    <w:rsid w:val="00DC0308"/>
    <w:rsid w:val="00DC4708"/>
    <w:rsid w:val="00DD0C9B"/>
    <w:rsid w:val="00DD1E39"/>
    <w:rsid w:val="00DD3587"/>
    <w:rsid w:val="00DD3D18"/>
    <w:rsid w:val="00DE1DB9"/>
    <w:rsid w:val="00DE3054"/>
    <w:rsid w:val="00DE4B02"/>
    <w:rsid w:val="00DE6FFA"/>
    <w:rsid w:val="00DF5B22"/>
    <w:rsid w:val="00E003B1"/>
    <w:rsid w:val="00E01C44"/>
    <w:rsid w:val="00E01E13"/>
    <w:rsid w:val="00E03BCB"/>
    <w:rsid w:val="00E0431E"/>
    <w:rsid w:val="00E0586F"/>
    <w:rsid w:val="00E0720E"/>
    <w:rsid w:val="00E12C95"/>
    <w:rsid w:val="00E13373"/>
    <w:rsid w:val="00E239D1"/>
    <w:rsid w:val="00E24E53"/>
    <w:rsid w:val="00E27E96"/>
    <w:rsid w:val="00E44322"/>
    <w:rsid w:val="00E466D6"/>
    <w:rsid w:val="00E47657"/>
    <w:rsid w:val="00E50DC3"/>
    <w:rsid w:val="00E549E9"/>
    <w:rsid w:val="00E60996"/>
    <w:rsid w:val="00E612C6"/>
    <w:rsid w:val="00E61BAC"/>
    <w:rsid w:val="00E623DA"/>
    <w:rsid w:val="00E64B3F"/>
    <w:rsid w:val="00E70D2A"/>
    <w:rsid w:val="00E71C63"/>
    <w:rsid w:val="00E72B73"/>
    <w:rsid w:val="00E73D09"/>
    <w:rsid w:val="00E8000F"/>
    <w:rsid w:val="00E8049A"/>
    <w:rsid w:val="00E8181E"/>
    <w:rsid w:val="00E82B6E"/>
    <w:rsid w:val="00E8716A"/>
    <w:rsid w:val="00E90381"/>
    <w:rsid w:val="00E943A1"/>
    <w:rsid w:val="00EA334D"/>
    <w:rsid w:val="00EA4848"/>
    <w:rsid w:val="00EA4944"/>
    <w:rsid w:val="00EB18CE"/>
    <w:rsid w:val="00EB4FCC"/>
    <w:rsid w:val="00EC1C7C"/>
    <w:rsid w:val="00EC7407"/>
    <w:rsid w:val="00ED0A65"/>
    <w:rsid w:val="00ED1520"/>
    <w:rsid w:val="00ED3DE0"/>
    <w:rsid w:val="00EE0517"/>
    <w:rsid w:val="00EE2307"/>
    <w:rsid w:val="00EE6789"/>
    <w:rsid w:val="00EF0084"/>
    <w:rsid w:val="00EF6E76"/>
    <w:rsid w:val="00EF7882"/>
    <w:rsid w:val="00F01EA9"/>
    <w:rsid w:val="00F05627"/>
    <w:rsid w:val="00F05E1B"/>
    <w:rsid w:val="00F1153C"/>
    <w:rsid w:val="00F148EA"/>
    <w:rsid w:val="00F16D61"/>
    <w:rsid w:val="00F2059F"/>
    <w:rsid w:val="00F234F3"/>
    <w:rsid w:val="00F23E6C"/>
    <w:rsid w:val="00F34BDE"/>
    <w:rsid w:val="00F34D0B"/>
    <w:rsid w:val="00F356C9"/>
    <w:rsid w:val="00F35905"/>
    <w:rsid w:val="00F43CCF"/>
    <w:rsid w:val="00F46DB1"/>
    <w:rsid w:val="00F52B4A"/>
    <w:rsid w:val="00F53DCD"/>
    <w:rsid w:val="00F60621"/>
    <w:rsid w:val="00F60927"/>
    <w:rsid w:val="00F6145F"/>
    <w:rsid w:val="00F61BDF"/>
    <w:rsid w:val="00F61D49"/>
    <w:rsid w:val="00F64BF0"/>
    <w:rsid w:val="00F67408"/>
    <w:rsid w:val="00F67938"/>
    <w:rsid w:val="00F70178"/>
    <w:rsid w:val="00F71C22"/>
    <w:rsid w:val="00F740B8"/>
    <w:rsid w:val="00F75868"/>
    <w:rsid w:val="00F7742B"/>
    <w:rsid w:val="00F84824"/>
    <w:rsid w:val="00F84D7A"/>
    <w:rsid w:val="00F934BA"/>
    <w:rsid w:val="00F96DE3"/>
    <w:rsid w:val="00FA4DFD"/>
    <w:rsid w:val="00FA6195"/>
    <w:rsid w:val="00FA6CA6"/>
    <w:rsid w:val="00FB014E"/>
    <w:rsid w:val="00FB0D13"/>
    <w:rsid w:val="00FB14D3"/>
    <w:rsid w:val="00FB1956"/>
    <w:rsid w:val="00FB2024"/>
    <w:rsid w:val="00FB3539"/>
    <w:rsid w:val="00FB7E64"/>
    <w:rsid w:val="00FC101F"/>
    <w:rsid w:val="00FC1746"/>
    <w:rsid w:val="00FD2595"/>
    <w:rsid w:val="00FD4B65"/>
    <w:rsid w:val="00FD4D85"/>
    <w:rsid w:val="00FD64DE"/>
    <w:rsid w:val="00FD67A6"/>
    <w:rsid w:val="00FE01CB"/>
    <w:rsid w:val="00FE0F2C"/>
    <w:rsid w:val="00FE3646"/>
    <w:rsid w:val="00FE412B"/>
    <w:rsid w:val="00FE46E2"/>
    <w:rsid w:val="00FF00A7"/>
    <w:rsid w:val="00FF24AD"/>
    <w:rsid w:val="00FF690D"/>
    <w:rsid w:val="00FF69CA"/>
    <w:rsid w:val="00FF6B0D"/>
    <w:rsid w:val="00FF7DD9"/>
    <w:rsid w:val="0106357C"/>
    <w:rsid w:val="011E4C42"/>
    <w:rsid w:val="016E44B3"/>
    <w:rsid w:val="018F11C2"/>
    <w:rsid w:val="019547AF"/>
    <w:rsid w:val="024E0BFD"/>
    <w:rsid w:val="02F25F6D"/>
    <w:rsid w:val="04457B7B"/>
    <w:rsid w:val="049146B2"/>
    <w:rsid w:val="05035A14"/>
    <w:rsid w:val="050B4D45"/>
    <w:rsid w:val="051B1EBC"/>
    <w:rsid w:val="05525B8D"/>
    <w:rsid w:val="05B717FA"/>
    <w:rsid w:val="0618407C"/>
    <w:rsid w:val="063660A6"/>
    <w:rsid w:val="06B92460"/>
    <w:rsid w:val="070A7C43"/>
    <w:rsid w:val="0724207B"/>
    <w:rsid w:val="074619B0"/>
    <w:rsid w:val="07625E37"/>
    <w:rsid w:val="076735F6"/>
    <w:rsid w:val="078B391D"/>
    <w:rsid w:val="07990483"/>
    <w:rsid w:val="07A94006"/>
    <w:rsid w:val="0817706E"/>
    <w:rsid w:val="08AA7177"/>
    <w:rsid w:val="0951763A"/>
    <w:rsid w:val="09F1516E"/>
    <w:rsid w:val="0A750DE9"/>
    <w:rsid w:val="0ABC3977"/>
    <w:rsid w:val="0AD36088"/>
    <w:rsid w:val="0BBE47BA"/>
    <w:rsid w:val="0BD51B62"/>
    <w:rsid w:val="0BEA4752"/>
    <w:rsid w:val="0C6527B5"/>
    <w:rsid w:val="0C813738"/>
    <w:rsid w:val="0C9C64ED"/>
    <w:rsid w:val="0CAD18D7"/>
    <w:rsid w:val="0CC076EF"/>
    <w:rsid w:val="0CEF0502"/>
    <w:rsid w:val="0CFE6C35"/>
    <w:rsid w:val="0D015F62"/>
    <w:rsid w:val="0D8E6D8E"/>
    <w:rsid w:val="0DD9045D"/>
    <w:rsid w:val="0E5033B8"/>
    <w:rsid w:val="0E577A99"/>
    <w:rsid w:val="0EE90EA5"/>
    <w:rsid w:val="0F2C6CA2"/>
    <w:rsid w:val="0F9F3099"/>
    <w:rsid w:val="0FAE0429"/>
    <w:rsid w:val="0FBE6D94"/>
    <w:rsid w:val="0FED1520"/>
    <w:rsid w:val="10860343"/>
    <w:rsid w:val="109174D0"/>
    <w:rsid w:val="10FF7BD1"/>
    <w:rsid w:val="1154462C"/>
    <w:rsid w:val="12154942"/>
    <w:rsid w:val="1219266C"/>
    <w:rsid w:val="12412722"/>
    <w:rsid w:val="12B53885"/>
    <w:rsid w:val="12E732E5"/>
    <w:rsid w:val="12EF34F1"/>
    <w:rsid w:val="1303234B"/>
    <w:rsid w:val="13345749"/>
    <w:rsid w:val="13C411F2"/>
    <w:rsid w:val="13CE59EB"/>
    <w:rsid w:val="13D116F7"/>
    <w:rsid w:val="14D86BE5"/>
    <w:rsid w:val="14F84B65"/>
    <w:rsid w:val="150D5795"/>
    <w:rsid w:val="1512095A"/>
    <w:rsid w:val="15277646"/>
    <w:rsid w:val="15365214"/>
    <w:rsid w:val="15447CA1"/>
    <w:rsid w:val="15507B51"/>
    <w:rsid w:val="15DB04C5"/>
    <w:rsid w:val="164072D9"/>
    <w:rsid w:val="16690701"/>
    <w:rsid w:val="16F21B38"/>
    <w:rsid w:val="17207A48"/>
    <w:rsid w:val="17597D40"/>
    <w:rsid w:val="178E4B62"/>
    <w:rsid w:val="17961BB1"/>
    <w:rsid w:val="18736F21"/>
    <w:rsid w:val="18835BD8"/>
    <w:rsid w:val="18953114"/>
    <w:rsid w:val="19356C2B"/>
    <w:rsid w:val="19537B2A"/>
    <w:rsid w:val="1989549D"/>
    <w:rsid w:val="1A3B46CF"/>
    <w:rsid w:val="1A70342B"/>
    <w:rsid w:val="1B3136C6"/>
    <w:rsid w:val="1B7C30B3"/>
    <w:rsid w:val="1BD56348"/>
    <w:rsid w:val="1BEF00DE"/>
    <w:rsid w:val="1BEF2DBC"/>
    <w:rsid w:val="1C0F3A54"/>
    <w:rsid w:val="1C3E2EB8"/>
    <w:rsid w:val="1C6B7D55"/>
    <w:rsid w:val="1CC63D3E"/>
    <w:rsid w:val="1D5C2E5E"/>
    <w:rsid w:val="1E255646"/>
    <w:rsid w:val="1E41243B"/>
    <w:rsid w:val="1E917F99"/>
    <w:rsid w:val="1E976665"/>
    <w:rsid w:val="1EB65E94"/>
    <w:rsid w:val="1F5979CD"/>
    <w:rsid w:val="1F793417"/>
    <w:rsid w:val="1FBB5BDE"/>
    <w:rsid w:val="1FCD770A"/>
    <w:rsid w:val="207A07D7"/>
    <w:rsid w:val="209E1159"/>
    <w:rsid w:val="21F23E97"/>
    <w:rsid w:val="22060C30"/>
    <w:rsid w:val="22306BEE"/>
    <w:rsid w:val="227532BB"/>
    <w:rsid w:val="22E225A7"/>
    <w:rsid w:val="22F32601"/>
    <w:rsid w:val="234C1457"/>
    <w:rsid w:val="23AA3387"/>
    <w:rsid w:val="23CB57A8"/>
    <w:rsid w:val="23D82D0D"/>
    <w:rsid w:val="2470187E"/>
    <w:rsid w:val="24D56B83"/>
    <w:rsid w:val="2507369B"/>
    <w:rsid w:val="25355AC1"/>
    <w:rsid w:val="25461A5A"/>
    <w:rsid w:val="25750CD1"/>
    <w:rsid w:val="257F497E"/>
    <w:rsid w:val="25870177"/>
    <w:rsid w:val="25A011BB"/>
    <w:rsid w:val="25EE4872"/>
    <w:rsid w:val="262636AC"/>
    <w:rsid w:val="26435851"/>
    <w:rsid w:val="26AB3EE7"/>
    <w:rsid w:val="26AD50B8"/>
    <w:rsid w:val="26F03FBD"/>
    <w:rsid w:val="27790CA3"/>
    <w:rsid w:val="27B82395"/>
    <w:rsid w:val="28A12370"/>
    <w:rsid w:val="28CA01A5"/>
    <w:rsid w:val="29170613"/>
    <w:rsid w:val="29314E7E"/>
    <w:rsid w:val="29402D78"/>
    <w:rsid w:val="2A640C85"/>
    <w:rsid w:val="2AA071EF"/>
    <w:rsid w:val="2AAE4762"/>
    <w:rsid w:val="2AB95FD6"/>
    <w:rsid w:val="2B1D1AF0"/>
    <w:rsid w:val="2B263921"/>
    <w:rsid w:val="2B4E0B76"/>
    <w:rsid w:val="2B694FB1"/>
    <w:rsid w:val="2BEB4040"/>
    <w:rsid w:val="2BF67C60"/>
    <w:rsid w:val="2BFA0779"/>
    <w:rsid w:val="2C0E424B"/>
    <w:rsid w:val="2C42270D"/>
    <w:rsid w:val="2CBA39C2"/>
    <w:rsid w:val="2D2E4D6B"/>
    <w:rsid w:val="2D4A1301"/>
    <w:rsid w:val="2D5D2665"/>
    <w:rsid w:val="2E037A86"/>
    <w:rsid w:val="2E136007"/>
    <w:rsid w:val="2E8B0AA3"/>
    <w:rsid w:val="2E936414"/>
    <w:rsid w:val="2EC80041"/>
    <w:rsid w:val="2EC847BA"/>
    <w:rsid w:val="2EE35519"/>
    <w:rsid w:val="2EFC5A4B"/>
    <w:rsid w:val="2EFE37E7"/>
    <w:rsid w:val="2F1A6DA0"/>
    <w:rsid w:val="2F283E1A"/>
    <w:rsid w:val="2F665361"/>
    <w:rsid w:val="2FCC3C55"/>
    <w:rsid w:val="2FF11AB8"/>
    <w:rsid w:val="30C12AC2"/>
    <w:rsid w:val="30D51DA8"/>
    <w:rsid w:val="30F63DD2"/>
    <w:rsid w:val="310F724C"/>
    <w:rsid w:val="314144E6"/>
    <w:rsid w:val="31700C2E"/>
    <w:rsid w:val="319361CA"/>
    <w:rsid w:val="31D277C0"/>
    <w:rsid w:val="322A217B"/>
    <w:rsid w:val="323A1352"/>
    <w:rsid w:val="324A3D48"/>
    <w:rsid w:val="3427121C"/>
    <w:rsid w:val="346C0547"/>
    <w:rsid w:val="35560AFB"/>
    <w:rsid w:val="35AD725D"/>
    <w:rsid w:val="3711688E"/>
    <w:rsid w:val="37321619"/>
    <w:rsid w:val="37D64FF3"/>
    <w:rsid w:val="39160DF7"/>
    <w:rsid w:val="392B407E"/>
    <w:rsid w:val="39714659"/>
    <w:rsid w:val="39840B95"/>
    <w:rsid w:val="3A832A35"/>
    <w:rsid w:val="3ACA712E"/>
    <w:rsid w:val="3AEB6A72"/>
    <w:rsid w:val="3AF3082B"/>
    <w:rsid w:val="3B6457D4"/>
    <w:rsid w:val="3B7D3B4D"/>
    <w:rsid w:val="3BAA5493"/>
    <w:rsid w:val="3BB610E0"/>
    <w:rsid w:val="3BCD6DFB"/>
    <w:rsid w:val="3BD14FD7"/>
    <w:rsid w:val="3C627F83"/>
    <w:rsid w:val="3C916862"/>
    <w:rsid w:val="3CED1533"/>
    <w:rsid w:val="3D100E39"/>
    <w:rsid w:val="3D264227"/>
    <w:rsid w:val="3D4D4C5C"/>
    <w:rsid w:val="3D5A1086"/>
    <w:rsid w:val="3D950588"/>
    <w:rsid w:val="3EEA375D"/>
    <w:rsid w:val="3F262AB1"/>
    <w:rsid w:val="3F2C1FF4"/>
    <w:rsid w:val="3FEE59EA"/>
    <w:rsid w:val="40083BE0"/>
    <w:rsid w:val="401E5275"/>
    <w:rsid w:val="4185265E"/>
    <w:rsid w:val="418610BB"/>
    <w:rsid w:val="418F7D24"/>
    <w:rsid w:val="41C36304"/>
    <w:rsid w:val="428D05B4"/>
    <w:rsid w:val="42CE38E1"/>
    <w:rsid w:val="433B78EB"/>
    <w:rsid w:val="43421BED"/>
    <w:rsid w:val="435A6F81"/>
    <w:rsid w:val="4411484E"/>
    <w:rsid w:val="442636F5"/>
    <w:rsid w:val="44266DEB"/>
    <w:rsid w:val="44947D32"/>
    <w:rsid w:val="449A1B46"/>
    <w:rsid w:val="44FD083F"/>
    <w:rsid w:val="45AD43E3"/>
    <w:rsid w:val="45DD52A2"/>
    <w:rsid w:val="461E19FC"/>
    <w:rsid w:val="463259E8"/>
    <w:rsid w:val="463A255A"/>
    <w:rsid w:val="464D1872"/>
    <w:rsid w:val="467E4B36"/>
    <w:rsid w:val="46B26845"/>
    <w:rsid w:val="46C61B19"/>
    <w:rsid w:val="473363C9"/>
    <w:rsid w:val="479C0CA9"/>
    <w:rsid w:val="47D15F3F"/>
    <w:rsid w:val="47EB15BF"/>
    <w:rsid w:val="48376DC1"/>
    <w:rsid w:val="48910DB6"/>
    <w:rsid w:val="48BC4C05"/>
    <w:rsid w:val="48EE377B"/>
    <w:rsid w:val="49480C86"/>
    <w:rsid w:val="49784D68"/>
    <w:rsid w:val="49CA1786"/>
    <w:rsid w:val="4A2577E8"/>
    <w:rsid w:val="4A566888"/>
    <w:rsid w:val="4A683BD5"/>
    <w:rsid w:val="4AF86D92"/>
    <w:rsid w:val="4BDF2292"/>
    <w:rsid w:val="4BF732B3"/>
    <w:rsid w:val="4C056DEB"/>
    <w:rsid w:val="4C072417"/>
    <w:rsid w:val="4C1112F7"/>
    <w:rsid w:val="4CE96B20"/>
    <w:rsid w:val="4D501F14"/>
    <w:rsid w:val="4D561904"/>
    <w:rsid w:val="4D860BF0"/>
    <w:rsid w:val="4DC12B18"/>
    <w:rsid w:val="4EDE7BE2"/>
    <w:rsid w:val="4F371E72"/>
    <w:rsid w:val="4F4110FD"/>
    <w:rsid w:val="4F622A50"/>
    <w:rsid w:val="4F736E0D"/>
    <w:rsid w:val="4FE8644A"/>
    <w:rsid w:val="504A3F67"/>
    <w:rsid w:val="50865A7F"/>
    <w:rsid w:val="50F8572E"/>
    <w:rsid w:val="510A7DC0"/>
    <w:rsid w:val="513521AC"/>
    <w:rsid w:val="516423EF"/>
    <w:rsid w:val="516B2ADD"/>
    <w:rsid w:val="519A16D1"/>
    <w:rsid w:val="51B60B0D"/>
    <w:rsid w:val="51DC237F"/>
    <w:rsid w:val="51E006C0"/>
    <w:rsid w:val="522D7D8E"/>
    <w:rsid w:val="52CB5E41"/>
    <w:rsid w:val="53015B34"/>
    <w:rsid w:val="53BA6D4F"/>
    <w:rsid w:val="53D3502A"/>
    <w:rsid w:val="540366C0"/>
    <w:rsid w:val="54DC4FF0"/>
    <w:rsid w:val="55670B6B"/>
    <w:rsid w:val="5567611D"/>
    <w:rsid w:val="558B3EEA"/>
    <w:rsid w:val="5591623A"/>
    <w:rsid w:val="5697344B"/>
    <w:rsid w:val="56C0231B"/>
    <w:rsid w:val="56D83990"/>
    <w:rsid w:val="5731538D"/>
    <w:rsid w:val="5769702D"/>
    <w:rsid w:val="578E2186"/>
    <w:rsid w:val="57980985"/>
    <w:rsid w:val="57F46D8E"/>
    <w:rsid w:val="583F3061"/>
    <w:rsid w:val="58C97A40"/>
    <w:rsid w:val="58E97B62"/>
    <w:rsid w:val="598E5E6A"/>
    <w:rsid w:val="59B47B07"/>
    <w:rsid w:val="59F0058B"/>
    <w:rsid w:val="59FC6CE7"/>
    <w:rsid w:val="5AFE1110"/>
    <w:rsid w:val="5B413883"/>
    <w:rsid w:val="5B705574"/>
    <w:rsid w:val="5BAA3C26"/>
    <w:rsid w:val="5BAF050F"/>
    <w:rsid w:val="5C3F4F39"/>
    <w:rsid w:val="5CAD4118"/>
    <w:rsid w:val="5CC82B0F"/>
    <w:rsid w:val="5D4E688C"/>
    <w:rsid w:val="5E0F6D4A"/>
    <w:rsid w:val="5E4B653C"/>
    <w:rsid w:val="5EED1DD4"/>
    <w:rsid w:val="5F8D7EDF"/>
    <w:rsid w:val="60A51D4A"/>
    <w:rsid w:val="61011003"/>
    <w:rsid w:val="6153135D"/>
    <w:rsid w:val="616C09E9"/>
    <w:rsid w:val="616E4E61"/>
    <w:rsid w:val="625B5FEE"/>
    <w:rsid w:val="62CC6DEF"/>
    <w:rsid w:val="632A3F0B"/>
    <w:rsid w:val="63612C2C"/>
    <w:rsid w:val="63802611"/>
    <w:rsid w:val="64036A74"/>
    <w:rsid w:val="645A08B0"/>
    <w:rsid w:val="6560327C"/>
    <w:rsid w:val="658B5E96"/>
    <w:rsid w:val="658F7713"/>
    <w:rsid w:val="65B52638"/>
    <w:rsid w:val="65CA7764"/>
    <w:rsid w:val="65F810E4"/>
    <w:rsid w:val="66053C9C"/>
    <w:rsid w:val="661C1561"/>
    <w:rsid w:val="6644674C"/>
    <w:rsid w:val="669011D0"/>
    <w:rsid w:val="671B5E4F"/>
    <w:rsid w:val="675F25A6"/>
    <w:rsid w:val="68355E9C"/>
    <w:rsid w:val="68492A9A"/>
    <w:rsid w:val="685C718B"/>
    <w:rsid w:val="68F773EE"/>
    <w:rsid w:val="691043F5"/>
    <w:rsid w:val="69341C3E"/>
    <w:rsid w:val="694211C9"/>
    <w:rsid w:val="69614119"/>
    <w:rsid w:val="6A056701"/>
    <w:rsid w:val="6A3B202C"/>
    <w:rsid w:val="6B042CE6"/>
    <w:rsid w:val="6B0F5214"/>
    <w:rsid w:val="6B100428"/>
    <w:rsid w:val="6B122021"/>
    <w:rsid w:val="6B3056E7"/>
    <w:rsid w:val="6B5C539E"/>
    <w:rsid w:val="6BAA6477"/>
    <w:rsid w:val="6BC270C2"/>
    <w:rsid w:val="6BC60A72"/>
    <w:rsid w:val="6C443802"/>
    <w:rsid w:val="6CB52FC5"/>
    <w:rsid w:val="6CC524E3"/>
    <w:rsid w:val="6CE8575C"/>
    <w:rsid w:val="6CF91427"/>
    <w:rsid w:val="6D0F4527"/>
    <w:rsid w:val="6D177495"/>
    <w:rsid w:val="6D8A01D9"/>
    <w:rsid w:val="6DE207B4"/>
    <w:rsid w:val="6DFA53A8"/>
    <w:rsid w:val="6E0B5E33"/>
    <w:rsid w:val="6E7E5E5C"/>
    <w:rsid w:val="6F0E2CA6"/>
    <w:rsid w:val="6F3A5D46"/>
    <w:rsid w:val="6F984E9B"/>
    <w:rsid w:val="6FD255E7"/>
    <w:rsid w:val="70141B9F"/>
    <w:rsid w:val="704374DE"/>
    <w:rsid w:val="70513E67"/>
    <w:rsid w:val="707466EA"/>
    <w:rsid w:val="7160099B"/>
    <w:rsid w:val="71FE41BB"/>
    <w:rsid w:val="723F369C"/>
    <w:rsid w:val="726A23E8"/>
    <w:rsid w:val="7277197B"/>
    <w:rsid w:val="728443E8"/>
    <w:rsid w:val="72B20FEF"/>
    <w:rsid w:val="72C85F63"/>
    <w:rsid w:val="73541DA9"/>
    <w:rsid w:val="74320C5D"/>
    <w:rsid w:val="74605BAF"/>
    <w:rsid w:val="74643623"/>
    <w:rsid w:val="74801D47"/>
    <w:rsid w:val="74C30D7E"/>
    <w:rsid w:val="75465EBA"/>
    <w:rsid w:val="758B29DF"/>
    <w:rsid w:val="760913C9"/>
    <w:rsid w:val="76644F52"/>
    <w:rsid w:val="766F5ACA"/>
    <w:rsid w:val="76783BBC"/>
    <w:rsid w:val="767B03DE"/>
    <w:rsid w:val="76810169"/>
    <w:rsid w:val="76E2421E"/>
    <w:rsid w:val="77091D3E"/>
    <w:rsid w:val="771C3337"/>
    <w:rsid w:val="775414FE"/>
    <w:rsid w:val="77A4494E"/>
    <w:rsid w:val="77F52A5D"/>
    <w:rsid w:val="78B86125"/>
    <w:rsid w:val="78CE0967"/>
    <w:rsid w:val="78E139D0"/>
    <w:rsid w:val="78FA0ACB"/>
    <w:rsid w:val="792470F4"/>
    <w:rsid w:val="792D7FEE"/>
    <w:rsid w:val="79D615FC"/>
    <w:rsid w:val="7A7C3FD7"/>
    <w:rsid w:val="7B4772A6"/>
    <w:rsid w:val="7B905F28"/>
    <w:rsid w:val="7B921070"/>
    <w:rsid w:val="7C06797F"/>
    <w:rsid w:val="7C3F722A"/>
    <w:rsid w:val="7C432192"/>
    <w:rsid w:val="7C8F6031"/>
    <w:rsid w:val="7C99448E"/>
    <w:rsid w:val="7CB250F2"/>
    <w:rsid w:val="7CB51293"/>
    <w:rsid w:val="7CBF7804"/>
    <w:rsid w:val="7CCD2455"/>
    <w:rsid w:val="7D7E46CC"/>
    <w:rsid w:val="7DDC56A2"/>
    <w:rsid w:val="7DE40BCF"/>
    <w:rsid w:val="7E771334"/>
    <w:rsid w:val="7E7A1595"/>
    <w:rsid w:val="7E967061"/>
    <w:rsid w:val="7EF24745"/>
    <w:rsid w:val="7F0B091B"/>
    <w:rsid w:val="7F3308EC"/>
    <w:rsid w:val="7FD82EDC"/>
    <w:rsid w:val="7FDA090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nhideWhenUsed="0" w:uiPriority="0" w:semiHidden="0" w:name="heading 3"/>
    <w:lsdException w:qFormat="1" w:unhideWhenUsed="0" w:uiPriority="99" w:semiHidden="0" w:name="heading 4"/>
    <w:lsdException w:qFormat="1" w:unhideWhenUsed="0" w:uiPriority="99" w:semiHidden="0" w:name="heading 5"/>
    <w:lsdException w:qFormat="1" w:uiPriority="0" w:name="heading 6" w:locked="1"/>
    <w:lsdException w:qFormat="1" w:uiPriority="0" w:name="heading 7" w:locked="1"/>
    <w:lsdException w:qFormat="1" w:uiPriority="0" w:name="heading 8" w:locked="1"/>
    <w:lsdException w:qFormat="1" w:uiPriority="0" w:name="heading 9" w:locked="1"/>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ocked="1"/>
    <w:lsdException w:qFormat="1" w:unhideWhenUsed="0" w:uiPriority="39" w:semiHidden="0" w:name="toc 3" w:locked="1"/>
    <w:lsdException w:qFormat="1" w:unhideWhenUsed="0" w:uiPriority="39" w:semiHidden="0" w:name="toc 4" w:locked="1"/>
    <w:lsdException w:qFormat="1" w:unhideWhenUsed="0" w:uiPriority="39" w:semiHidden="0" w:name="toc 5" w:locked="1"/>
    <w:lsdException w:qFormat="1" w:unhideWhenUsed="0" w:uiPriority="39" w:semiHidden="0" w:name="toc 6" w:locked="1"/>
    <w:lsdException w:qFormat="1" w:unhideWhenUsed="0" w:uiPriority="39" w:semiHidden="0" w:name="toc 7" w:locked="1"/>
    <w:lsdException w:qFormat="1" w:unhideWhenUsed="0" w:uiPriority="39" w:semiHidden="0" w:name="toc 8" w:locked="1"/>
    <w:lsdException w:qFormat="1" w:unhideWhenUsed="0" w:uiPriority="39" w:semiHidden="0" w:name="toc 9" w:locked="1"/>
    <w:lsdException w:qFormat="1" w:unhideWhenUsed="0" w:uiPriority="99" w:semiHidden="0" w:name="Normal Indent"/>
    <w:lsdException w:qFormat="1" w:unhideWhenUsed="0" w:uiPriority="0" w:semiHidden="0"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qFormat="1" w:unhideWhenUsed="0" w:uiPriority="0" w:semiHidden="0" w:name="envelope return"/>
    <w:lsdException w:qFormat="1" w:unhideWhenUsed="0" w:uiPriority="0" w:semiHidden="0" w:name="footnote reference"/>
    <w:lsdException w:qFormat="1"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qFormat="1" w:unhideWhenUsed="0" w:uiPriority="99" w:semiHidden="0" w:name="Body Text First Indent"/>
    <w:lsdException w:qFormat="1" w:unhideWhenUsed="0" w:uiPriority="0" w:semiHidden="0" w:name="Body Text First Indent 2"/>
    <w:lsdException w:uiPriority="99" w:name="Note Heading"/>
    <w:lsdException w:uiPriority="99" w:name="Body Text 2"/>
    <w:lsdException w:qFormat="1" w:unhideWhenUsed="0" w:uiPriority="0" w:semiHidden="0" w:name="Body Text 3"/>
    <w:lsdException w:qFormat="1" w:unhideWhenUsed="0" w:uiPriority="99" w:semiHidden="0" w:name="Body Text Indent 2"/>
    <w:lsdException w:qFormat="1" w:unhideWhenUsed="0" w:uiPriority="99" w:semiHidden="0" w:name="Body Text Indent 3"/>
    <w:lsdException w:uiPriority="99" w:name="Block Text"/>
    <w:lsdException w:qFormat="1" w:unhideWhenUsed="0" w:uiPriority="99" w:semiHidden="0" w:name="Hyperlink"/>
    <w:lsdException w:qFormat="1" w:uiPriority="99" w:name="FollowedHyperlink"/>
    <w:lsdException w:qFormat="1" w:unhideWhenUsed="0" w:uiPriority="99" w:semiHidden="0" w:name="Strong"/>
    <w:lsdException w:qFormat="1" w:unhideWhenUsed="0" w:uiPriority="0" w:semiHidden="0" w:name="Emphasis" w:locked="1"/>
    <w:lsdException w:qFormat="1" w:unhideWhenUsed="0" w:uiPriority="99" w:semiHidden="0" w:name="Document Map"/>
    <w:lsdException w:qFormat="1" w:unhideWhenUsed="0" w:uiPriority="99" w:semiHidden="0" w:name="Plain Text"/>
    <w:lsdException w:uiPriority="99" w:name="E-mail Signature"/>
    <w:lsdException w:qFormat="1" w:unhideWhenUsed="0" w:uiPriority="99"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qFormat="1" w:unhideWhenUsed="0" w:uiPriority="99" w:semiHidden="0" w:name="HTML Preformatted"/>
    <w:lsdException w:qFormat="1" w:uiPriority="99" w:name="HTML Sample"/>
    <w:lsdException w:qFormat="1"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69"/>
    <w:qFormat/>
    <w:uiPriority w:val="99"/>
    <w:pPr>
      <w:adjustRightInd w:val="0"/>
      <w:spacing w:before="240" w:after="60" w:line="420" w:lineRule="atLeast"/>
      <w:jc w:val="center"/>
      <w:textAlignment w:val="baseline"/>
      <w:outlineLvl w:val="0"/>
    </w:pPr>
    <w:rPr>
      <w:rFonts w:ascii="Arial" w:hAnsi="Arial"/>
      <w:b/>
      <w:kern w:val="0"/>
      <w:sz w:val="32"/>
      <w:szCs w:val="20"/>
    </w:rPr>
  </w:style>
  <w:style w:type="paragraph" w:styleId="5">
    <w:name w:val="heading 2"/>
    <w:basedOn w:val="1"/>
    <w:next w:val="1"/>
    <w:link w:val="64"/>
    <w:qFormat/>
    <w:uiPriority w:val="0"/>
    <w:pPr>
      <w:keepNext/>
      <w:keepLines/>
      <w:spacing w:before="260" w:after="260" w:line="416" w:lineRule="auto"/>
      <w:outlineLvl w:val="1"/>
    </w:pPr>
    <w:rPr>
      <w:rFonts w:ascii="Arial" w:hAnsi="Arial" w:eastAsia="黑体"/>
      <w:b/>
      <w:bCs/>
      <w:kern w:val="0"/>
      <w:sz w:val="32"/>
      <w:szCs w:val="32"/>
    </w:rPr>
  </w:style>
  <w:style w:type="paragraph" w:styleId="6">
    <w:name w:val="heading 3"/>
    <w:basedOn w:val="1"/>
    <w:next w:val="1"/>
    <w:link w:val="65"/>
    <w:qFormat/>
    <w:uiPriority w:val="0"/>
    <w:pPr>
      <w:keepNext/>
      <w:keepLines/>
      <w:spacing w:before="260" w:after="260" w:line="416" w:lineRule="auto"/>
      <w:outlineLvl w:val="2"/>
    </w:pPr>
    <w:rPr>
      <w:b/>
      <w:bCs/>
      <w:kern w:val="0"/>
      <w:sz w:val="32"/>
      <w:szCs w:val="32"/>
    </w:rPr>
  </w:style>
  <w:style w:type="paragraph" w:styleId="7">
    <w:name w:val="heading 4"/>
    <w:basedOn w:val="1"/>
    <w:next w:val="1"/>
    <w:link w:val="66"/>
    <w:qFormat/>
    <w:uiPriority w:val="99"/>
    <w:pPr>
      <w:keepNext/>
      <w:keepLines/>
      <w:spacing w:before="280" w:after="290" w:line="376" w:lineRule="auto"/>
      <w:outlineLvl w:val="3"/>
    </w:pPr>
    <w:rPr>
      <w:rFonts w:ascii="Arial" w:hAnsi="Arial" w:eastAsia="黑体"/>
      <w:b/>
      <w:bCs/>
      <w:kern w:val="0"/>
      <w:sz w:val="28"/>
      <w:szCs w:val="28"/>
    </w:rPr>
  </w:style>
  <w:style w:type="paragraph" w:styleId="8">
    <w:name w:val="heading 5"/>
    <w:basedOn w:val="1"/>
    <w:next w:val="1"/>
    <w:link w:val="67"/>
    <w:qFormat/>
    <w:uiPriority w:val="99"/>
    <w:pPr>
      <w:keepNext/>
      <w:keepLines/>
      <w:spacing w:before="280" w:after="290" w:line="376" w:lineRule="auto"/>
      <w:outlineLvl w:val="4"/>
    </w:pPr>
    <w:rPr>
      <w:b/>
      <w:bCs/>
      <w:kern w:val="0"/>
      <w:sz w:val="28"/>
      <w:szCs w:val="28"/>
    </w:rPr>
  </w:style>
  <w:style w:type="character" w:default="1" w:styleId="39">
    <w:name w:val="Default Paragraph Font"/>
    <w:semiHidden/>
    <w:unhideWhenUsed/>
    <w:qFormat/>
    <w:uiPriority w:val="1"/>
  </w:style>
  <w:style w:type="table" w:default="1" w:styleId="3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83"/>
    <w:qFormat/>
    <w:uiPriority w:val="99"/>
    <w:pPr>
      <w:spacing w:after="120"/>
    </w:pPr>
    <w:rPr>
      <w:rFonts w:ascii="Calibri" w:hAnsi="Calibri"/>
      <w:szCs w:val="22"/>
    </w:rPr>
  </w:style>
  <w:style w:type="paragraph" w:customStyle="1" w:styleId="3">
    <w:name w:val="Default"/>
    <w:qFormat/>
    <w:uiPriority w:val="0"/>
    <w:pPr>
      <w:widowControl w:val="0"/>
      <w:autoSpaceDE w:val="0"/>
      <w:autoSpaceDN w:val="0"/>
      <w:adjustRightInd w:val="0"/>
    </w:pPr>
    <w:rPr>
      <w:rFonts w:ascii="仿宋_GB2312" w:hAnsi="仿宋_GB2312" w:eastAsia="宋体" w:cs="仿宋_GB2312"/>
      <w:color w:val="000000"/>
      <w:sz w:val="24"/>
      <w:szCs w:val="24"/>
      <w:lang w:val="en-US" w:eastAsia="zh-CN" w:bidi="ar-SA"/>
    </w:rPr>
  </w:style>
  <w:style w:type="paragraph" w:styleId="9">
    <w:name w:val="toc 7"/>
    <w:basedOn w:val="1"/>
    <w:next w:val="1"/>
    <w:qFormat/>
    <w:locked/>
    <w:uiPriority w:val="39"/>
    <w:pPr>
      <w:ind w:left="2520" w:leftChars="1200"/>
    </w:pPr>
  </w:style>
  <w:style w:type="paragraph" w:styleId="10">
    <w:name w:val="Normal Indent"/>
    <w:basedOn w:val="1"/>
    <w:qFormat/>
    <w:uiPriority w:val="99"/>
    <w:pPr>
      <w:ind w:firstLine="420" w:firstLineChars="200"/>
    </w:pPr>
  </w:style>
  <w:style w:type="paragraph" w:styleId="11">
    <w:name w:val="Document Map"/>
    <w:basedOn w:val="1"/>
    <w:link w:val="87"/>
    <w:qFormat/>
    <w:uiPriority w:val="99"/>
    <w:pPr>
      <w:shd w:val="clear" w:color="auto" w:fill="000080"/>
    </w:pPr>
    <w:rPr>
      <w:rFonts w:ascii="宋体" w:hAnsi="Calibri"/>
      <w:sz w:val="18"/>
      <w:szCs w:val="18"/>
    </w:rPr>
  </w:style>
  <w:style w:type="paragraph" w:styleId="12">
    <w:name w:val="annotation text"/>
    <w:basedOn w:val="1"/>
    <w:link w:val="103"/>
    <w:semiHidden/>
    <w:qFormat/>
    <w:uiPriority w:val="99"/>
    <w:pPr>
      <w:jc w:val="left"/>
    </w:pPr>
    <w:rPr>
      <w:kern w:val="0"/>
      <w:sz w:val="20"/>
    </w:rPr>
  </w:style>
  <w:style w:type="paragraph" w:styleId="13">
    <w:name w:val="Body Text 3"/>
    <w:basedOn w:val="1"/>
    <w:link w:val="96"/>
    <w:qFormat/>
    <w:uiPriority w:val="0"/>
    <w:pPr>
      <w:spacing w:after="120"/>
    </w:pPr>
    <w:rPr>
      <w:rFonts w:ascii="Calibri" w:hAnsi="Calibri"/>
      <w:sz w:val="16"/>
      <w:szCs w:val="16"/>
    </w:rPr>
  </w:style>
  <w:style w:type="paragraph" w:styleId="14">
    <w:name w:val="Body Text Indent"/>
    <w:basedOn w:val="1"/>
    <w:next w:val="15"/>
    <w:link w:val="106"/>
    <w:qFormat/>
    <w:uiPriority w:val="99"/>
    <w:pPr>
      <w:spacing w:after="120"/>
      <w:ind w:left="420" w:leftChars="200"/>
    </w:pPr>
  </w:style>
  <w:style w:type="paragraph" w:styleId="15">
    <w:name w:val="envelope return"/>
    <w:basedOn w:val="1"/>
    <w:qFormat/>
    <w:uiPriority w:val="0"/>
    <w:pPr>
      <w:snapToGrid w:val="0"/>
      <w:spacing w:line="360" w:lineRule="auto"/>
      <w:ind w:firstLine="200" w:firstLineChars="200"/>
    </w:pPr>
    <w:rPr>
      <w:rFonts w:ascii="Arial" w:hAnsi="Arial" w:cs="Arial"/>
      <w:szCs w:val="20"/>
    </w:rPr>
  </w:style>
  <w:style w:type="paragraph" w:styleId="16">
    <w:name w:val="toc 5"/>
    <w:basedOn w:val="1"/>
    <w:next w:val="1"/>
    <w:qFormat/>
    <w:locked/>
    <w:uiPriority w:val="39"/>
    <w:pPr>
      <w:ind w:left="1680" w:leftChars="800"/>
    </w:pPr>
  </w:style>
  <w:style w:type="paragraph" w:styleId="17">
    <w:name w:val="toc 3"/>
    <w:basedOn w:val="1"/>
    <w:next w:val="1"/>
    <w:qFormat/>
    <w:locked/>
    <w:uiPriority w:val="39"/>
    <w:pPr>
      <w:ind w:left="840" w:leftChars="400"/>
    </w:pPr>
  </w:style>
  <w:style w:type="paragraph" w:styleId="18">
    <w:name w:val="Plain Text"/>
    <w:basedOn w:val="1"/>
    <w:link w:val="75"/>
    <w:qFormat/>
    <w:uiPriority w:val="99"/>
    <w:rPr>
      <w:rFonts w:ascii="宋体" w:hAnsi="Courier New"/>
      <w:szCs w:val="21"/>
    </w:rPr>
  </w:style>
  <w:style w:type="paragraph" w:styleId="19">
    <w:name w:val="toc 8"/>
    <w:basedOn w:val="1"/>
    <w:next w:val="1"/>
    <w:qFormat/>
    <w:locked/>
    <w:uiPriority w:val="39"/>
    <w:pPr>
      <w:ind w:left="2940" w:leftChars="1400"/>
    </w:pPr>
  </w:style>
  <w:style w:type="paragraph" w:styleId="20">
    <w:name w:val="Date"/>
    <w:basedOn w:val="1"/>
    <w:next w:val="1"/>
    <w:link w:val="90"/>
    <w:qFormat/>
    <w:uiPriority w:val="99"/>
    <w:pPr>
      <w:ind w:left="100" w:leftChars="2500"/>
    </w:pPr>
    <w:rPr>
      <w:rFonts w:ascii="Calibri" w:hAnsi="Calibri"/>
      <w:szCs w:val="22"/>
    </w:rPr>
  </w:style>
  <w:style w:type="paragraph" w:styleId="21">
    <w:name w:val="Body Text Indent 2"/>
    <w:basedOn w:val="1"/>
    <w:link w:val="93"/>
    <w:qFormat/>
    <w:uiPriority w:val="99"/>
    <w:pPr>
      <w:spacing w:after="120" w:line="480" w:lineRule="auto"/>
      <w:ind w:left="420" w:leftChars="200"/>
    </w:pPr>
    <w:rPr>
      <w:rFonts w:ascii="Calibri" w:hAnsi="Calibri"/>
      <w:szCs w:val="22"/>
    </w:rPr>
  </w:style>
  <w:style w:type="paragraph" w:styleId="22">
    <w:name w:val="Balloon Text"/>
    <w:basedOn w:val="1"/>
    <w:link w:val="102"/>
    <w:semiHidden/>
    <w:qFormat/>
    <w:uiPriority w:val="99"/>
    <w:rPr>
      <w:rFonts w:ascii="Calibri" w:hAnsi="Calibri"/>
      <w:sz w:val="18"/>
      <w:szCs w:val="18"/>
    </w:rPr>
  </w:style>
  <w:style w:type="paragraph" w:styleId="23">
    <w:name w:val="footer"/>
    <w:basedOn w:val="1"/>
    <w:link w:val="71"/>
    <w:qFormat/>
    <w:uiPriority w:val="99"/>
    <w:pPr>
      <w:tabs>
        <w:tab w:val="center" w:pos="4153"/>
        <w:tab w:val="right" w:pos="8306"/>
      </w:tabs>
      <w:snapToGrid w:val="0"/>
      <w:jc w:val="left"/>
    </w:pPr>
    <w:rPr>
      <w:sz w:val="18"/>
      <w:szCs w:val="18"/>
    </w:rPr>
  </w:style>
  <w:style w:type="paragraph" w:styleId="24">
    <w:name w:val="header"/>
    <w:basedOn w:val="1"/>
    <w:link w:val="70"/>
    <w:qFormat/>
    <w:uiPriority w:val="99"/>
    <w:pPr>
      <w:pBdr>
        <w:bottom w:val="single" w:color="auto" w:sz="6" w:space="1"/>
      </w:pBdr>
      <w:tabs>
        <w:tab w:val="center" w:pos="4153"/>
        <w:tab w:val="right" w:pos="8306"/>
      </w:tabs>
      <w:snapToGrid w:val="0"/>
      <w:jc w:val="center"/>
    </w:pPr>
    <w:rPr>
      <w:sz w:val="18"/>
      <w:szCs w:val="18"/>
    </w:rPr>
  </w:style>
  <w:style w:type="paragraph" w:styleId="25">
    <w:name w:val="toc 1"/>
    <w:basedOn w:val="1"/>
    <w:next w:val="1"/>
    <w:qFormat/>
    <w:uiPriority w:val="39"/>
    <w:pPr>
      <w:spacing w:before="120" w:after="120"/>
      <w:jc w:val="left"/>
    </w:pPr>
    <w:rPr>
      <w:b/>
      <w:bCs/>
      <w:caps/>
      <w:sz w:val="20"/>
      <w:szCs w:val="20"/>
    </w:rPr>
  </w:style>
  <w:style w:type="paragraph" w:styleId="26">
    <w:name w:val="toc 4"/>
    <w:basedOn w:val="1"/>
    <w:next w:val="1"/>
    <w:qFormat/>
    <w:locked/>
    <w:uiPriority w:val="39"/>
    <w:pPr>
      <w:ind w:left="1260" w:leftChars="600"/>
    </w:pPr>
  </w:style>
  <w:style w:type="paragraph" w:styleId="27">
    <w:name w:val="footnote text"/>
    <w:basedOn w:val="1"/>
    <w:link w:val="78"/>
    <w:qFormat/>
    <w:uiPriority w:val="0"/>
    <w:pPr>
      <w:snapToGrid w:val="0"/>
      <w:jc w:val="left"/>
    </w:pPr>
    <w:rPr>
      <w:rFonts w:ascii="Calibri" w:hAnsi="Calibri"/>
      <w:sz w:val="18"/>
      <w:szCs w:val="18"/>
    </w:rPr>
  </w:style>
  <w:style w:type="paragraph" w:styleId="28">
    <w:name w:val="toc 6"/>
    <w:basedOn w:val="1"/>
    <w:next w:val="1"/>
    <w:qFormat/>
    <w:locked/>
    <w:uiPriority w:val="39"/>
    <w:pPr>
      <w:ind w:left="2100" w:leftChars="1000"/>
    </w:pPr>
  </w:style>
  <w:style w:type="paragraph" w:styleId="29">
    <w:name w:val="Body Text Indent 3"/>
    <w:basedOn w:val="1"/>
    <w:link w:val="99"/>
    <w:qFormat/>
    <w:uiPriority w:val="99"/>
    <w:pPr>
      <w:snapToGrid w:val="0"/>
      <w:ind w:firstLine="576"/>
    </w:pPr>
    <w:rPr>
      <w:rFonts w:ascii="Calibri" w:hAnsi="Calibri"/>
      <w:sz w:val="16"/>
      <w:szCs w:val="16"/>
    </w:rPr>
  </w:style>
  <w:style w:type="paragraph" w:styleId="30">
    <w:name w:val="toc 2"/>
    <w:basedOn w:val="1"/>
    <w:next w:val="1"/>
    <w:qFormat/>
    <w:locked/>
    <w:uiPriority w:val="39"/>
    <w:pPr>
      <w:ind w:left="420" w:leftChars="200"/>
    </w:pPr>
  </w:style>
  <w:style w:type="paragraph" w:styleId="31">
    <w:name w:val="toc 9"/>
    <w:basedOn w:val="1"/>
    <w:next w:val="1"/>
    <w:qFormat/>
    <w:locked/>
    <w:uiPriority w:val="39"/>
    <w:pPr>
      <w:ind w:left="3360" w:leftChars="1600"/>
    </w:pPr>
  </w:style>
  <w:style w:type="paragraph" w:styleId="32">
    <w:name w:val="HTML Preformatted"/>
    <w:basedOn w:val="1"/>
    <w:link w:val="107"/>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kern w:val="0"/>
      <w:sz w:val="20"/>
      <w:szCs w:val="20"/>
    </w:rPr>
  </w:style>
  <w:style w:type="paragraph" w:styleId="33">
    <w:name w:val="Normal (Web)"/>
    <w:basedOn w:val="1"/>
    <w:link w:val="104"/>
    <w:qFormat/>
    <w:uiPriority w:val="99"/>
    <w:pPr>
      <w:widowControl/>
      <w:spacing w:before="100" w:beforeAutospacing="1" w:after="100" w:afterAutospacing="1"/>
      <w:jc w:val="left"/>
    </w:pPr>
    <w:rPr>
      <w:rFonts w:ascii="宋体" w:hAnsi="宋体"/>
      <w:kern w:val="0"/>
      <w:sz w:val="24"/>
      <w:szCs w:val="20"/>
    </w:rPr>
  </w:style>
  <w:style w:type="paragraph" w:styleId="34">
    <w:name w:val="index 1"/>
    <w:basedOn w:val="1"/>
    <w:next w:val="1"/>
    <w:qFormat/>
    <w:uiPriority w:val="0"/>
    <w:pPr>
      <w:spacing w:line="440" w:lineRule="exact"/>
      <w:jc w:val="center"/>
    </w:pPr>
    <w:rPr>
      <w:szCs w:val="21"/>
    </w:rPr>
  </w:style>
  <w:style w:type="paragraph" w:styleId="35">
    <w:name w:val="Body Text First Indent"/>
    <w:basedOn w:val="2"/>
    <w:link w:val="84"/>
    <w:qFormat/>
    <w:uiPriority w:val="99"/>
    <w:pPr>
      <w:ind w:firstLine="420" w:firstLineChars="100"/>
    </w:pPr>
  </w:style>
  <w:style w:type="paragraph" w:styleId="36">
    <w:name w:val="Body Text First Indent 2"/>
    <w:basedOn w:val="14"/>
    <w:qFormat/>
    <w:uiPriority w:val="0"/>
    <w:pPr>
      <w:ind w:firstLine="200" w:firstLineChars="200"/>
    </w:pPr>
  </w:style>
  <w:style w:type="table" w:styleId="38">
    <w:name w:val="Table Grid"/>
    <w:basedOn w:val="37"/>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40">
    <w:name w:val="Strong"/>
    <w:qFormat/>
    <w:uiPriority w:val="99"/>
    <w:rPr>
      <w:rFonts w:cs="Times New Roman"/>
      <w:b/>
    </w:rPr>
  </w:style>
  <w:style w:type="character" w:styleId="41">
    <w:name w:val="page number"/>
    <w:qFormat/>
    <w:uiPriority w:val="99"/>
    <w:rPr>
      <w:rFonts w:cs="Times New Roman"/>
    </w:rPr>
  </w:style>
  <w:style w:type="character" w:styleId="42">
    <w:name w:val="FollowedHyperlink"/>
    <w:basedOn w:val="39"/>
    <w:semiHidden/>
    <w:unhideWhenUsed/>
    <w:qFormat/>
    <w:uiPriority w:val="99"/>
    <w:rPr>
      <w:color w:val="800080"/>
      <w:u w:val="none"/>
    </w:rPr>
  </w:style>
  <w:style w:type="character" w:styleId="43">
    <w:name w:val="Emphasis"/>
    <w:basedOn w:val="39"/>
    <w:qFormat/>
    <w:locked/>
    <w:uiPriority w:val="0"/>
    <w:rPr>
      <w:b/>
    </w:rPr>
  </w:style>
  <w:style w:type="character" w:styleId="44">
    <w:name w:val="HTML Definition"/>
    <w:basedOn w:val="39"/>
    <w:semiHidden/>
    <w:unhideWhenUsed/>
    <w:qFormat/>
    <w:uiPriority w:val="99"/>
  </w:style>
  <w:style w:type="character" w:styleId="45">
    <w:name w:val="HTML Typewriter"/>
    <w:basedOn w:val="39"/>
    <w:semiHidden/>
    <w:unhideWhenUsed/>
    <w:qFormat/>
    <w:uiPriority w:val="99"/>
    <w:rPr>
      <w:rFonts w:ascii="monospace" w:hAnsi="monospace" w:eastAsia="monospace" w:cs="monospace"/>
      <w:sz w:val="20"/>
    </w:rPr>
  </w:style>
  <w:style w:type="character" w:styleId="46">
    <w:name w:val="HTML Acronym"/>
    <w:basedOn w:val="39"/>
    <w:semiHidden/>
    <w:unhideWhenUsed/>
    <w:qFormat/>
    <w:uiPriority w:val="99"/>
  </w:style>
  <w:style w:type="character" w:styleId="47">
    <w:name w:val="HTML Variable"/>
    <w:basedOn w:val="39"/>
    <w:semiHidden/>
    <w:unhideWhenUsed/>
    <w:qFormat/>
    <w:uiPriority w:val="99"/>
  </w:style>
  <w:style w:type="character" w:styleId="48">
    <w:name w:val="Hyperlink"/>
    <w:qFormat/>
    <w:uiPriority w:val="99"/>
    <w:rPr>
      <w:rFonts w:cs="Times New Roman"/>
      <w:color w:val="0000FF"/>
      <w:u w:val="single"/>
    </w:rPr>
  </w:style>
  <w:style w:type="character" w:styleId="49">
    <w:name w:val="HTML Code"/>
    <w:basedOn w:val="39"/>
    <w:semiHidden/>
    <w:unhideWhenUsed/>
    <w:qFormat/>
    <w:uiPriority w:val="99"/>
    <w:rPr>
      <w:rFonts w:hint="default" w:ascii="monospace" w:hAnsi="monospace" w:eastAsia="monospace" w:cs="monospace"/>
      <w:sz w:val="20"/>
    </w:rPr>
  </w:style>
  <w:style w:type="character" w:styleId="50">
    <w:name w:val="annotation reference"/>
    <w:basedOn w:val="39"/>
    <w:semiHidden/>
    <w:unhideWhenUsed/>
    <w:qFormat/>
    <w:uiPriority w:val="99"/>
    <w:rPr>
      <w:sz w:val="21"/>
      <w:szCs w:val="21"/>
    </w:rPr>
  </w:style>
  <w:style w:type="character" w:styleId="51">
    <w:name w:val="HTML Cite"/>
    <w:basedOn w:val="39"/>
    <w:semiHidden/>
    <w:unhideWhenUsed/>
    <w:qFormat/>
    <w:uiPriority w:val="99"/>
  </w:style>
  <w:style w:type="character" w:styleId="52">
    <w:name w:val="footnote reference"/>
    <w:basedOn w:val="39"/>
    <w:qFormat/>
    <w:uiPriority w:val="0"/>
    <w:rPr>
      <w:rFonts w:cs="Times New Roman"/>
      <w:vertAlign w:val="superscript"/>
    </w:rPr>
  </w:style>
  <w:style w:type="character" w:styleId="53">
    <w:name w:val="HTML Keyboard"/>
    <w:basedOn w:val="39"/>
    <w:semiHidden/>
    <w:unhideWhenUsed/>
    <w:qFormat/>
    <w:uiPriority w:val="99"/>
    <w:rPr>
      <w:rFonts w:hint="default" w:ascii="monospace" w:hAnsi="monospace" w:eastAsia="monospace" w:cs="monospace"/>
      <w:sz w:val="20"/>
    </w:rPr>
  </w:style>
  <w:style w:type="character" w:styleId="54">
    <w:name w:val="HTML Sample"/>
    <w:basedOn w:val="39"/>
    <w:semiHidden/>
    <w:unhideWhenUsed/>
    <w:qFormat/>
    <w:uiPriority w:val="99"/>
    <w:rPr>
      <w:rFonts w:hint="default" w:ascii="monospace" w:hAnsi="monospace" w:eastAsia="monospace" w:cs="monospace"/>
    </w:rPr>
  </w:style>
  <w:style w:type="paragraph" w:customStyle="1" w:styleId="55">
    <w:name w:val="样式 标题 2 + Times New Roman 四号 非加粗 段前: 5 磅 段后: 0 磅 行距: 固定值 20..."/>
    <w:basedOn w:val="5"/>
    <w:qFormat/>
    <w:uiPriority w:val="0"/>
    <w:pPr>
      <w:spacing w:before="100" w:after="0" w:line="400" w:lineRule="exact"/>
    </w:pPr>
    <w:rPr>
      <w:rFonts w:ascii="Times New Roman" w:hAnsi="Times New Roman" w:cs="宋体"/>
      <w:b w:val="0"/>
      <w:bCs w:val="0"/>
      <w:sz w:val="28"/>
      <w:szCs w:val="20"/>
    </w:rPr>
  </w:style>
  <w:style w:type="paragraph" w:customStyle="1" w:styleId="56">
    <w:name w:val="Char Char Char Char"/>
    <w:basedOn w:val="1"/>
    <w:qFormat/>
    <w:uiPriority w:val="99"/>
    <w:rPr>
      <w:szCs w:val="20"/>
    </w:rPr>
  </w:style>
  <w:style w:type="paragraph" w:customStyle="1" w:styleId="57">
    <w:name w:val="6'"/>
    <w:basedOn w:val="1"/>
    <w:qFormat/>
    <w:uiPriority w:val="99"/>
    <w:pPr>
      <w:autoSpaceDE w:val="0"/>
      <w:autoSpaceDN w:val="0"/>
      <w:adjustRightInd w:val="0"/>
      <w:snapToGrid w:val="0"/>
      <w:spacing w:line="320" w:lineRule="exact"/>
      <w:jc w:val="center"/>
      <w:textAlignment w:val="baseline"/>
    </w:pPr>
    <w:rPr>
      <w:spacing w:val="20"/>
      <w:kern w:val="28"/>
      <w:szCs w:val="20"/>
    </w:rPr>
  </w:style>
  <w:style w:type="paragraph" w:customStyle="1" w:styleId="58">
    <w:name w:val="表头"/>
    <w:basedOn w:val="1"/>
    <w:qFormat/>
    <w:uiPriority w:val="99"/>
    <w:pPr>
      <w:adjustRightInd w:val="0"/>
      <w:spacing w:before="60" w:after="60" w:line="420" w:lineRule="atLeast"/>
      <w:jc w:val="left"/>
      <w:textAlignment w:val="baseline"/>
    </w:pPr>
    <w:rPr>
      <w:rFonts w:ascii="黑体" w:eastAsia="黑体"/>
      <w:b/>
      <w:kern w:val="0"/>
      <w:szCs w:val="20"/>
    </w:rPr>
  </w:style>
  <w:style w:type="paragraph" w:customStyle="1" w:styleId="59">
    <w:name w:val="表中"/>
    <w:basedOn w:val="1"/>
    <w:qFormat/>
    <w:uiPriority w:val="99"/>
    <w:pPr>
      <w:adjustRightInd w:val="0"/>
      <w:spacing w:line="360" w:lineRule="atLeast"/>
      <w:jc w:val="center"/>
      <w:textAlignment w:val="baseline"/>
    </w:pPr>
    <w:rPr>
      <w:kern w:val="0"/>
      <w:szCs w:val="20"/>
    </w:rPr>
  </w:style>
  <w:style w:type="paragraph" w:customStyle="1" w:styleId="60">
    <w:name w:val="列出段落1"/>
    <w:basedOn w:val="1"/>
    <w:qFormat/>
    <w:uiPriority w:val="99"/>
    <w:pPr>
      <w:ind w:firstLine="420" w:firstLineChars="200"/>
    </w:pPr>
  </w:style>
  <w:style w:type="paragraph" w:customStyle="1" w:styleId="61">
    <w:name w:val="reader-word-layer reader-word-s15-13"/>
    <w:basedOn w:val="1"/>
    <w:qFormat/>
    <w:uiPriority w:val="99"/>
    <w:pPr>
      <w:widowControl/>
      <w:spacing w:before="100" w:beforeAutospacing="1" w:after="100" w:afterAutospacing="1"/>
      <w:jc w:val="left"/>
    </w:pPr>
    <w:rPr>
      <w:rFonts w:ascii="宋体" w:hAnsi="宋体" w:cs="宋体"/>
      <w:kern w:val="0"/>
      <w:sz w:val="24"/>
    </w:rPr>
  </w:style>
  <w:style w:type="paragraph" w:customStyle="1" w:styleId="62">
    <w:name w:val="Table Paragraph"/>
    <w:basedOn w:val="1"/>
    <w:qFormat/>
    <w:uiPriority w:val="1"/>
    <w:rPr>
      <w:rFonts w:ascii="宋体" w:hAnsi="宋体" w:cs="宋体"/>
    </w:rPr>
  </w:style>
  <w:style w:type="character" w:customStyle="1" w:styleId="63">
    <w:name w:val="Heading 1 Char"/>
    <w:qFormat/>
    <w:uiPriority w:val="9"/>
    <w:rPr>
      <w:rFonts w:ascii="Times New Roman" w:hAnsi="Times New Roman"/>
      <w:b/>
      <w:bCs/>
      <w:kern w:val="44"/>
      <w:sz w:val="44"/>
      <w:szCs w:val="44"/>
    </w:rPr>
  </w:style>
  <w:style w:type="character" w:customStyle="1" w:styleId="64">
    <w:name w:val="标题 2 Char"/>
    <w:link w:val="5"/>
    <w:qFormat/>
    <w:locked/>
    <w:uiPriority w:val="0"/>
    <w:rPr>
      <w:rFonts w:ascii="Arial" w:hAnsi="Arial" w:eastAsia="黑体" w:cs="Times New Roman"/>
      <w:b/>
      <w:bCs/>
      <w:kern w:val="0"/>
      <w:sz w:val="32"/>
      <w:szCs w:val="32"/>
    </w:rPr>
  </w:style>
  <w:style w:type="character" w:customStyle="1" w:styleId="65">
    <w:name w:val="标题 3 Char"/>
    <w:link w:val="6"/>
    <w:qFormat/>
    <w:locked/>
    <w:uiPriority w:val="0"/>
    <w:rPr>
      <w:rFonts w:ascii="Times New Roman" w:hAnsi="Times New Roman" w:eastAsia="宋体" w:cs="Times New Roman"/>
      <w:b/>
      <w:bCs/>
      <w:kern w:val="0"/>
      <w:sz w:val="32"/>
      <w:szCs w:val="32"/>
    </w:rPr>
  </w:style>
  <w:style w:type="character" w:customStyle="1" w:styleId="66">
    <w:name w:val="标题 4 Char"/>
    <w:link w:val="7"/>
    <w:qFormat/>
    <w:locked/>
    <w:uiPriority w:val="99"/>
    <w:rPr>
      <w:rFonts w:ascii="Arial" w:hAnsi="Arial" w:eastAsia="黑体" w:cs="Times New Roman"/>
      <w:b/>
      <w:bCs/>
      <w:kern w:val="0"/>
      <w:sz w:val="28"/>
      <w:szCs w:val="28"/>
    </w:rPr>
  </w:style>
  <w:style w:type="character" w:customStyle="1" w:styleId="67">
    <w:name w:val="标题 5 Char"/>
    <w:link w:val="8"/>
    <w:qFormat/>
    <w:locked/>
    <w:uiPriority w:val="99"/>
    <w:rPr>
      <w:rFonts w:ascii="Times New Roman" w:hAnsi="Times New Roman" w:eastAsia="宋体" w:cs="Times New Roman"/>
      <w:b/>
      <w:bCs/>
      <w:kern w:val="0"/>
      <w:sz w:val="28"/>
      <w:szCs w:val="28"/>
    </w:rPr>
  </w:style>
  <w:style w:type="character" w:customStyle="1" w:styleId="68">
    <w:name w:val="标题 1 Char"/>
    <w:qFormat/>
    <w:locked/>
    <w:uiPriority w:val="99"/>
    <w:rPr>
      <w:rFonts w:ascii="Arial" w:hAnsi="Arial" w:eastAsia="宋体" w:cs="Times New Roman"/>
      <w:b/>
      <w:kern w:val="0"/>
      <w:sz w:val="20"/>
      <w:szCs w:val="20"/>
    </w:rPr>
  </w:style>
  <w:style w:type="character" w:customStyle="1" w:styleId="69">
    <w:name w:val="标题 1 Char1"/>
    <w:link w:val="4"/>
    <w:qFormat/>
    <w:locked/>
    <w:uiPriority w:val="99"/>
    <w:rPr>
      <w:rFonts w:ascii="Times New Roman" w:hAnsi="Times New Roman" w:eastAsia="黑体" w:cs="Times New Roman"/>
      <w:b/>
      <w:kern w:val="0"/>
      <w:sz w:val="20"/>
      <w:szCs w:val="20"/>
    </w:rPr>
  </w:style>
  <w:style w:type="character" w:customStyle="1" w:styleId="70">
    <w:name w:val="页眉 Char"/>
    <w:link w:val="24"/>
    <w:qFormat/>
    <w:locked/>
    <w:uiPriority w:val="99"/>
    <w:rPr>
      <w:rFonts w:cs="Times New Roman"/>
      <w:sz w:val="18"/>
      <w:szCs w:val="18"/>
    </w:rPr>
  </w:style>
  <w:style w:type="character" w:customStyle="1" w:styleId="71">
    <w:name w:val="页脚 Char"/>
    <w:link w:val="23"/>
    <w:qFormat/>
    <w:locked/>
    <w:uiPriority w:val="99"/>
    <w:rPr>
      <w:rFonts w:cs="Times New Roman"/>
      <w:sz w:val="18"/>
      <w:szCs w:val="18"/>
    </w:rPr>
  </w:style>
  <w:style w:type="character" w:customStyle="1" w:styleId="72">
    <w:name w:val="font161"/>
    <w:qFormat/>
    <w:uiPriority w:val="99"/>
    <w:rPr>
      <w:b/>
      <w:sz w:val="32"/>
    </w:rPr>
  </w:style>
  <w:style w:type="character" w:customStyle="1" w:styleId="73">
    <w:name w:val="纯文本 Char"/>
    <w:qFormat/>
    <w:locked/>
    <w:uiPriority w:val="99"/>
    <w:rPr>
      <w:rFonts w:ascii="宋体" w:hAnsi="Courier New" w:eastAsia="宋体" w:cs="Times New Roman"/>
      <w:sz w:val="21"/>
      <w:szCs w:val="21"/>
    </w:rPr>
  </w:style>
  <w:style w:type="character" w:customStyle="1" w:styleId="74">
    <w:name w:val="Plain Text Char1"/>
    <w:semiHidden/>
    <w:qFormat/>
    <w:uiPriority w:val="99"/>
    <w:rPr>
      <w:rFonts w:ascii="宋体" w:hAnsi="Courier New" w:cs="Courier New"/>
      <w:szCs w:val="21"/>
    </w:rPr>
  </w:style>
  <w:style w:type="character" w:customStyle="1" w:styleId="75">
    <w:name w:val="纯文本 Char1"/>
    <w:link w:val="18"/>
    <w:semiHidden/>
    <w:qFormat/>
    <w:locked/>
    <w:uiPriority w:val="99"/>
    <w:rPr>
      <w:rFonts w:ascii="宋体" w:hAnsi="Courier New" w:eastAsia="宋体" w:cs="Courier New"/>
      <w:sz w:val="21"/>
      <w:szCs w:val="21"/>
    </w:rPr>
  </w:style>
  <w:style w:type="character" w:customStyle="1" w:styleId="76">
    <w:name w:val="脚注文本 Char"/>
    <w:qFormat/>
    <w:locked/>
    <w:uiPriority w:val="0"/>
    <w:rPr>
      <w:rFonts w:eastAsia="宋体" w:cs="Times New Roman"/>
      <w:sz w:val="18"/>
      <w:szCs w:val="18"/>
    </w:rPr>
  </w:style>
  <w:style w:type="character" w:customStyle="1" w:styleId="77">
    <w:name w:val="Footnote Text Char1"/>
    <w:semiHidden/>
    <w:qFormat/>
    <w:uiPriority w:val="99"/>
    <w:rPr>
      <w:rFonts w:ascii="Times New Roman" w:hAnsi="Times New Roman"/>
      <w:sz w:val="18"/>
      <w:szCs w:val="18"/>
    </w:rPr>
  </w:style>
  <w:style w:type="character" w:customStyle="1" w:styleId="78">
    <w:name w:val="脚注文本 Char1"/>
    <w:link w:val="27"/>
    <w:semiHidden/>
    <w:qFormat/>
    <w:locked/>
    <w:uiPriority w:val="99"/>
    <w:rPr>
      <w:rFonts w:ascii="Times New Roman" w:hAnsi="Times New Roman" w:eastAsia="宋体" w:cs="Times New Roman"/>
      <w:sz w:val="18"/>
      <w:szCs w:val="18"/>
    </w:rPr>
  </w:style>
  <w:style w:type="character" w:customStyle="1" w:styleId="79">
    <w:name w:val="正文首行缩进 Char"/>
    <w:qFormat/>
    <w:locked/>
    <w:uiPriority w:val="99"/>
    <w:rPr>
      <w:rFonts w:eastAsia="宋体" w:cs="Times New Roman"/>
    </w:rPr>
  </w:style>
  <w:style w:type="character" w:customStyle="1" w:styleId="80">
    <w:name w:val="正文文本 Char"/>
    <w:qFormat/>
    <w:locked/>
    <w:uiPriority w:val="99"/>
    <w:rPr>
      <w:rFonts w:eastAsia="宋体" w:cs="Times New Roman"/>
    </w:rPr>
  </w:style>
  <w:style w:type="character" w:customStyle="1" w:styleId="81">
    <w:name w:val="Body Text Char1"/>
    <w:semiHidden/>
    <w:qFormat/>
    <w:uiPriority w:val="99"/>
    <w:rPr>
      <w:rFonts w:ascii="Times New Roman" w:hAnsi="Times New Roman"/>
      <w:szCs w:val="24"/>
    </w:rPr>
  </w:style>
  <w:style w:type="character" w:customStyle="1" w:styleId="82">
    <w:name w:val="Body Text First Indent Char1"/>
    <w:semiHidden/>
    <w:qFormat/>
    <w:uiPriority w:val="99"/>
    <w:rPr>
      <w:rFonts w:ascii="Times New Roman" w:hAnsi="Times New Roman" w:eastAsia="宋体" w:cs="Times New Roman"/>
      <w:szCs w:val="24"/>
    </w:rPr>
  </w:style>
  <w:style w:type="character" w:customStyle="1" w:styleId="83">
    <w:name w:val="正文文本 Char1"/>
    <w:link w:val="2"/>
    <w:semiHidden/>
    <w:qFormat/>
    <w:locked/>
    <w:uiPriority w:val="99"/>
    <w:rPr>
      <w:rFonts w:ascii="Times New Roman" w:hAnsi="Times New Roman" w:eastAsia="宋体" w:cs="Times New Roman"/>
      <w:sz w:val="24"/>
      <w:szCs w:val="24"/>
    </w:rPr>
  </w:style>
  <w:style w:type="character" w:customStyle="1" w:styleId="84">
    <w:name w:val="正文首行缩进 Char1"/>
    <w:link w:val="35"/>
    <w:semiHidden/>
    <w:qFormat/>
    <w:locked/>
    <w:uiPriority w:val="99"/>
    <w:rPr>
      <w:rFonts w:ascii="Times New Roman" w:hAnsi="Times New Roman" w:eastAsia="宋体" w:cs="Times New Roman"/>
      <w:sz w:val="24"/>
      <w:szCs w:val="24"/>
    </w:rPr>
  </w:style>
  <w:style w:type="character" w:customStyle="1" w:styleId="85">
    <w:name w:val="文档结构图 Char"/>
    <w:qFormat/>
    <w:locked/>
    <w:uiPriority w:val="99"/>
    <w:rPr>
      <w:rFonts w:ascii="宋体" w:eastAsia="宋体" w:cs="Times New Roman"/>
      <w:sz w:val="18"/>
      <w:szCs w:val="18"/>
      <w:shd w:val="clear" w:color="auto" w:fill="000080"/>
    </w:rPr>
  </w:style>
  <w:style w:type="character" w:customStyle="1" w:styleId="86">
    <w:name w:val="Document Map Char1"/>
    <w:semiHidden/>
    <w:qFormat/>
    <w:uiPriority w:val="99"/>
    <w:rPr>
      <w:rFonts w:ascii="Times New Roman" w:hAnsi="Times New Roman"/>
      <w:sz w:val="16"/>
      <w:szCs w:val="16"/>
    </w:rPr>
  </w:style>
  <w:style w:type="character" w:customStyle="1" w:styleId="87">
    <w:name w:val="文档结构图 Char1"/>
    <w:link w:val="11"/>
    <w:semiHidden/>
    <w:qFormat/>
    <w:locked/>
    <w:uiPriority w:val="99"/>
    <w:rPr>
      <w:rFonts w:ascii="宋体" w:hAnsi="Times New Roman" w:eastAsia="宋体" w:cs="Times New Roman"/>
      <w:sz w:val="18"/>
      <w:szCs w:val="18"/>
    </w:rPr>
  </w:style>
  <w:style w:type="character" w:customStyle="1" w:styleId="88">
    <w:name w:val="日期 Char"/>
    <w:qFormat/>
    <w:locked/>
    <w:uiPriority w:val="99"/>
    <w:rPr>
      <w:rFonts w:eastAsia="宋体" w:cs="Times New Roman"/>
    </w:rPr>
  </w:style>
  <w:style w:type="character" w:customStyle="1" w:styleId="89">
    <w:name w:val="Date Char1"/>
    <w:semiHidden/>
    <w:qFormat/>
    <w:uiPriority w:val="99"/>
    <w:rPr>
      <w:rFonts w:ascii="Times New Roman" w:hAnsi="Times New Roman"/>
      <w:szCs w:val="24"/>
    </w:rPr>
  </w:style>
  <w:style w:type="character" w:customStyle="1" w:styleId="90">
    <w:name w:val="日期 Char1"/>
    <w:link w:val="20"/>
    <w:semiHidden/>
    <w:qFormat/>
    <w:locked/>
    <w:uiPriority w:val="99"/>
    <w:rPr>
      <w:rFonts w:ascii="Times New Roman" w:hAnsi="Times New Roman" w:eastAsia="宋体" w:cs="Times New Roman"/>
      <w:sz w:val="24"/>
      <w:szCs w:val="24"/>
    </w:rPr>
  </w:style>
  <w:style w:type="character" w:customStyle="1" w:styleId="91">
    <w:name w:val="正文文本缩进 2 Char"/>
    <w:qFormat/>
    <w:locked/>
    <w:uiPriority w:val="99"/>
    <w:rPr>
      <w:rFonts w:eastAsia="宋体" w:cs="Times New Roman"/>
    </w:rPr>
  </w:style>
  <w:style w:type="character" w:customStyle="1" w:styleId="92">
    <w:name w:val="Body Text Indent 2 Char1"/>
    <w:semiHidden/>
    <w:qFormat/>
    <w:uiPriority w:val="99"/>
    <w:rPr>
      <w:rFonts w:ascii="Times New Roman" w:hAnsi="Times New Roman"/>
      <w:szCs w:val="24"/>
    </w:rPr>
  </w:style>
  <w:style w:type="character" w:customStyle="1" w:styleId="93">
    <w:name w:val="正文文本缩进 2 Char1"/>
    <w:link w:val="21"/>
    <w:semiHidden/>
    <w:qFormat/>
    <w:locked/>
    <w:uiPriority w:val="99"/>
    <w:rPr>
      <w:rFonts w:ascii="Times New Roman" w:hAnsi="Times New Roman" w:eastAsia="宋体" w:cs="Times New Roman"/>
      <w:sz w:val="24"/>
      <w:szCs w:val="24"/>
    </w:rPr>
  </w:style>
  <w:style w:type="character" w:customStyle="1" w:styleId="94">
    <w:name w:val="正文文本 3 Char"/>
    <w:qFormat/>
    <w:locked/>
    <w:uiPriority w:val="0"/>
    <w:rPr>
      <w:rFonts w:eastAsia="宋体" w:cs="Times New Roman"/>
      <w:sz w:val="16"/>
      <w:szCs w:val="16"/>
    </w:rPr>
  </w:style>
  <w:style w:type="character" w:customStyle="1" w:styleId="95">
    <w:name w:val="Body Text 3 Char1"/>
    <w:semiHidden/>
    <w:qFormat/>
    <w:uiPriority w:val="99"/>
    <w:rPr>
      <w:rFonts w:ascii="Times New Roman" w:hAnsi="Times New Roman"/>
      <w:sz w:val="16"/>
      <w:szCs w:val="16"/>
    </w:rPr>
  </w:style>
  <w:style w:type="character" w:customStyle="1" w:styleId="96">
    <w:name w:val="正文文本 3 Char1"/>
    <w:link w:val="13"/>
    <w:semiHidden/>
    <w:qFormat/>
    <w:locked/>
    <w:uiPriority w:val="99"/>
    <w:rPr>
      <w:rFonts w:ascii="Times New Roman" w:hAnsi="Times New Roman" w:eastAsia="宋体" w:cs="Times New Roman"/>
      <w:sz w:val="16"/>
      <w:szCs w:val="16"/>
    </w:rPr>
  </w:style>
  <w:style w:type="character" w:customStyle="1" w:styleId="97">
    <w:name w:val="正文文本缩进 3 Char"/>
    <w:qFormat/>
    <w:locked/>
    <w:uiPriority w:val="99"/>
    <w:rPr>
      <w:rFonts w:eastAsia="宋体" w:cs="Times New Roman"/>
      <w:sz w:val="16"/>
      <w:szCs w:val="16"/>
    </w:rPr>
  </w:style>
  <w:style w:type="character" w:customStyle="1" w:styleId="98">
    <w:name w:val="Body Text Indent 3 Char1"/>
    <w:semiHidden/>
    <w:qFormat/>
    <w:uiPriority w:val="99"/>
    <w:rPr>
      <w:rFonts w:ascii="Times New Roman" w:hAnsi="Times New Roman"/>
      <w:sz w:val="16"/>
      <w:szCs w:val="16"/>
    </w:rPr>
  </w:style>
  <w:style w:type="character" w:customStyle="1" w:styleId="99">
    <w:name w:val="正文文本缩进 3 Char1"/>
    <w:link w:val="29"/>
    <w:semiHidden/>
    <w:qFormat/>
    <w:locked/>
    <w:uiPriority w:val="99"/>
    <w:rPr>
      <w:rFonts w:ascii="Times New Roman" w:hAnsi="Times New Roman" w:eastAsia="宋体" w:cs="Times New Roman"/>
      <w:sz w:val="16"/>
      <w:szCs w:val="16"/>
    </w:rPr>
  </w:style>
  <w:style w:type="character" w:customStyle="1" w:styleId="100">
    <w:name w:val="批注框文本 Char"/>
    <w:semiHidden/>
    <w:qFormat/>
    <w:locked/>
    <w:uiPriority w:val="99"/>
    <w:rPr>
      <w:rFonts w:eastAsia="宋体" w:cs="Times New Roman"/>
      <w:sz w:val="18"/>
      <w:szCs w:val="18"/>
    </w:rPr>
  </w:style>
  <w:style w:type="character" w:customStyle="1" w:styleId="101">
    <w:name w:val="Balloon Text Char1"/>
    <w:semiHidden/>
    <w:qFormat/>
    <w:uiPriority w:val="99"/>
    <w:rPr>
      <w:rFonts w:ascii="Times New Roman" w:hAnsi="Times New Roman"/>
      <w:sz w:val="16"/>
      <w:szCs w:val="16"/>
    </w:rPr>
  </w:style>
  <w:style w:type="character" w:customStyle="1" w:styleId="102">
    <w:name w:val="批注框文本 Char1"/>
    <w:link w:val="22"/>
    <w:semiHidden/>
    <w:qFormat/>
    <w:locked/>
    <w:uiPriority w:val="99"/>
    <w:rPr>
      <w:rFonts w:ascii="Times New Roman" w:hAnsi="Times New Roman" w:eastAsia="宋体" w:cs="Times New Roman"/>
      <w:sz w:val="18"/>
      <w:szCs w:val="18"/>
    </w:rPr>
  </w:style>
  <w:style w:type="character" w:customStyle="1" w:styleId="103">
    <w:name w:val="批注文字 Char"/>
    <w:link w:val="12"/>
    <w:semiHidden/>
    <w:qFormat/>
    <w:locked/>
    <w:uiPriority w:val="99"/>
    <w:rPr>
      <w:rFonts w:ascii="Times New Roman" w:hAnsi="Times New Roman" w:eastAsia="宋体" w:cs="Times New Roman"/>
      <w:kern w:val="0"/>
      <w:sz w:val="24"/>
      <w:szCs w:val="24"/>
    </w:rPr>
  </w:style>
  <w:style w:type="character" w:customStyle="1" w:styleId="104">
    <w:name w:val="普通(网站) Char"/>
    <w:link w:val="33"/>
    <w:qFormat/>
    <w:locked/>
    <w:uiPriority w:val="99"/>
    <w:rPr>
      <w:rFonts w:ascii="宋体" w:hAnsi="宋体" w:eastAsia="宋体"/>
      <w:kern w:val="0"/>
      <w:sz w:val="24"/>
    </w:rPr>
  </w:style>
  <w:style w:type="character" w:customStyle="1" w:styleId="105">
    <w:name w:val="p148"/>
    <w:qFormat/>
    <w:uiPriority w:val="99"/>
  </w:style>
  <w:style w:type="character" w:customStyle="1" w:styleId="106">
    <w:name w:val="正文文本缩进 Char"/>
    <w:link w:val="14"/>
    <w:qFormat/>
    <w:locked/>
    <w:uiPriority w:val="99"/>
    <w:rPr>
      <w:rFonts w:ascii="Times New Roman" w:hAnsi="Times New Roman" w:eastAsia="宋体" w:cs="Times New Roman"/>
      <w:sz w:val="24"/>
      <w:szCs w:val="24"/>
    </w:rPr>
  </w:style>
  <w:style w:type="character" w:customStyle="1" w:styleId="107">
    <w:name w:val="HTML 预设格式 Char"/>
    <w:link w:val="32"/>
    <w:qFormat/>
    <w:locked/>
    <w:uiPriority w:val="99"/>
    <w:rPr>
      <w:rFonts w:ascii="黑体" w:hAnsi="Courier New" w:eastAsia="黑体" w:cs="Courier New"/>
      <w:kern w:val="0"/>
      <w:sz w:val="20"/>
      <w:szCs w:val="20"/>
    </w:rPr>
  </w:style>
  <w:style w:type="table" w:customStyle="1" w:styleId="108">
    <w:name w:val="Table Normal"/>
    <w:semiHidden/>
    <w:unhideWhenUsed/>
    <w:qFormat/>
    <w:uiPriority w:val="2"/>
    <w:pPr>
      <w:widowControl w:val="0"/>
      <w:autoSpaceDE w:val="0"/>
      <w:autoSpaceDN w:val="0"/>
    </w:pPr>
    <w:rPr>
      <w:sz w:val="22"/>
      <w:szCs w:val="22"/>
      <w:lang w:eastAsia="en-US"/>
    </w:rPr>
    <w:tblPr>
      <w:tblCellMar>
        <w:top w:w="0" w:type="dxa"/>
        <w:left w:w="0" w:type="dxa"/>
        <w:bottom w:w="0" w:type="dxa"/>
        <w:right w:w="0" w:type="dxa"/>
      </w:tblCellMar>
    </w:tblPr>
  </w:style>
  <w:style w:type="paragraph" w:styleId="109">
    <w:name w:val="List Paragraph"/>
    <w:basedOn w:val="1"/>
    <w:qFormat/>
    <w:uiPriority w:val="99"/>
    <w:pPr>
      <w:ind w:firstLine="420" w:firstLineChars="200"/>
    </w:pPr>
  </w:style>
  <w:style w:type="character" w:customStyle="1" w:styleId="110">
    <w:name w:val="ca-1"/>
    <w:basedOn w:val="39"/>
    <w:qFormat/>
    <w:uiPriority w:val="0"/>
  </w:style>
  <w:style w:type="character" w:customStyle="1" w:styleId="111">
    <w:name w:val="15"/>
    <w:qFormat/>
    <w:uiPriority w:val="0"/>
    <w:rPr>
      <w:rFonts w:hint="default" w:ascii="Times New Roman" w:hAnsi="Times New Roman" w:cs="Times New Roman"/>
    </w:rPr>
  </w:style>
  <w:style w:type="paragraph" w:customStyle="1" w:styleId="112">
    <w:name w:val="Body text|1"/>
    <w:basedOn w:val="1"/>
    <w:qFormat/>
    <w:uiPriority w:val="0"/>
    <w:pPr>
      <w:spacing w:line="403" w:lineRule="auto"/>
      <w:ind w:firstLine="400"/>
    </w:pPr>
    <w:rPr>
      <w:rFonts w:ascii="宋体" w:hAnsi="宋体" w:cs="宋体"/>
      <w:sz w:val="22"/>
      <w:szCs w:val="22"/>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Info spid="_x0000_s3073"/>
    <customShpInfo spid="_x0000_s307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13534</Words>
  <Characters>77147</Characters>
  <Lines>642</Lines>
  <Paragraphs>180</Paragraphs>
  <TotalTime>669</TotalTime>
  <ScaleCrop>false</ScaleCrop>
  <LinksUpToDate>false</LinksUpToDate>
  <CharactersWithSpaces>90501</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2017-08-16T02:01:00Z</dcterms:created>
  <dc:creator>Windows 用户</dc:creator>
  <cp:lastModifiedBy>吴</cp:lastModifiedBy>
  <cp:lastPrinted>2020-07-29T04:10:00Z</cp:lastPrinted>
  <dcterms:modified xsi:type="dcterms:W3CDTF">2020-08-12T15:42:00Z</dcterms:modified>
  <dc:title>安徽省交通控股集团标准招标文件             GS-FW-1</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