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黑体" w:hAnsi="黑体" w:eastAsia="黑体" w:cs="黑体"/>
          <w:b/>
          <w:bCs/>
          <w:snapToGrid w:val="0"/>
          <w:kern w:val="0"/>
          <w:sz w:val="44"/>
          <w:szCs w:val="44"/>
          <w:highlight w:val="none"/>
        </w:rPr>
      </w:pPr>
      <w:r>
        <w:rPr>
          <w:rFonts w:hint="eastAsia" w:ascii="黑体" w:hAnsi="黑体" w:eastAsia="黑体" w:cs="黑体"/>
          <w:b/>
          <w:bCs/>
          <w:snapToGrid w:val="0"/>
          <w:kern w:val="0"/>
          <w:sz w:val="44"/>
          <w:szCs w:val="44"/>
          <w:highlight w:val="none"/>
        </w:rPr>
        <w:t>2022年度巢湖市市政道路、桥梁维修工程</w:t>
      </w:r>
    </w:p>
    <w:p>
      <w:pPr>
        <w:snapToGrid w:val="0"/>
        <w:spacing w:line="560" w:lineRule="exact"/>
        <w:jc w:val="center"/>
        <w:rPr>
          <w:rFonts w:hint="default" w:ascii="黑体" w:hAnsi="黑体" w:eastAsia="黑体" w:cs="黑体"/>
          <w:b/>
          <w:bCs/>
          <w:snapToGrid w:val="0"/>
          <w:kern w:val="0"/>
          <w:sz w:val="44"/>
          <w:szCs w:val="44"/>
          <w:highlight w:val="none"/>
          <w:lang w:val="en-US" w:eastAsia="zh-CN"/>
        </w:rPr>
      </w:pPr>
      <w:r>
        <w:rPr>
          <w:rFonts w:hint="eastAsia" w:ascii="黑体" w:hAnsi="黑体" w:eastAsia="黑体" w:cs="黑体"/>
          <w:b/>
          <w:bCs/>
          <w:snapToGrid w:val="0"/>
          <w:kern w:val="0"/>
          <w:sz w:val="44"/>
          <w:szCs w:val="44"/>
          <w:highlight w:val="none"/>
          <w:lang w:val="en-US" w:eastAsia="zh-CN"/>
        </w:rPr>
        <w:t>招标公告</w:t>
      </w:r>
      <w:r>
        <w:rPr>
          <w:rFonts w:hint="eastAsia" w:ascii="黑体" w:hAnsi="黑体" w:eastAsia="黑体" w:cs="黑体"/>
          <w:b/>
          <w:bCs/>
          <w:snapToGrid w:val="0"/>
          <w:kern w:val="0"/>
          <w:sz w:val="44"/>
          <w:szCs w:val="44"/>
          <w:highlight w:val="none"/>
        </w:rPr>
        <w:t>（电子招标投标）</w:t>
      </w:r>
      <w:bookmarkStart w:id="4" w:name="_GoBack"/>
      <w:bookmarkEnd w:id="4"/>
    </w:p>
    <w:p>
      <w:pPr>
        <w:snapToGrid w:val="0"/>
        <w:spacing w:line="560" w:lineRule="exact"/>
        <w:jc w:val="center"/>
        <w:rPr>
          <w:rFonts w:hint="eastAsia" w:ascii="宋体" w:hAnsi="宋体" w:cs="方正仿宋简体"/>
          <w:b/>
          <w:bCs/>
          <w:snapToGrid w:val="0"/>
          <w:kern w:val="0"/>
          <w:sz w:val="44"/>
          <w:szCs w:val="44"/>
          <w:highlight w:val="none"/>
        </w:rPr>
      </w:pPr>
    </w:p>
    <w:p>
      <w:pPr>
        <w:snapToGrid w:val="0"/>
        <w:spacing w:line="560" w:lineRule="exact"/>
        <w:jc w:val="center"/>
        <w:rPr>
          <w:rFonts w:hint="eastAsia" w:ascii="宋体" w:hAnsi="宋体" w:cs="方正仿宋简体"/>
          <w:b/>
          <w:bCs/>
          <w:snapToGrid w:val="0"/>
          <w:kern w:val="0"/>
          <w:sz w:val="44"/>
          <w:szCs w:val="44"/>
          <w:highlight w:val="none"/>
        </w:rPr>
      </w:pPr>
    </w:p>
    <w:p>
      <w:pPr>
        <w:snapToGrid w:val="0"/>
        <w:spacing w:line="56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1.招标条件</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1.1 项目名称：2022年度巢湖市市政道路、桥梁维修工程</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1.2 项目审批、核准或备案机关名称：</w:t>
      </w:r>
      <w:r>
        <w:rPr>
          <w:rFonts w:hint="eastAsia" w:ascii="仿宋" w:hAnsi="仿宋" w:eastAsia="仿宋" w:cs="仿宋"/>
          <w:sz w:val="28"/>
          <w:szCs w:val="28"/>
          <w:highlight w:val="none"/>
        </w:rPr>
        <w:t>巢湖市住房和城乡建设局</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1.3 批文名称及编号：关于批复2022年巢湖市市政管理处部门预算的通知、巢建办字[2022]4号</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1.4 招 标 人：巢湖市市政管理处</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1.5 项目业主：巢湖市市政管理处</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1.6 资金来源：财政资金</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1.7 项目出资比例：100%  </w:t>
      </w:r>
    </w:p>
    <w:p>
      <w:pPr>
        <w:snapToGrid w:val="0"/>
        <w:spacing w:line="56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2.项目概况与招标范围</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2.1 招标项目名称：2022年度巢湖市市政道路、桥梁维修工程</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2.2 招标项目编号：2022AMMGZ00020</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2.3 标段划分：1个标段</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2.4 招标项目标段编号2022AMMGZ00020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2.5 建设地点：巢湖市</w:t>
      </w:r>
    </w:p>
    <w:p>
      <w:pPr>
        <w:snapToGrid w:val="0"/>
        <w:spacing w:line="560" w:lineRule="exact"/>
        <w:ind w:firstLine="560" w:firstLineChars="200"/>
        <w:rPr>
          <w:rFonts w:hint="eastAsia" w:ascii="仿宋" w:hAnsi="仿宋" w:eastAsia="仿宋" w:cs="仿宋"/>
          <w:spacing w:val="-1"/>
          <w:sz w:val="28"/>
          <w:szCs w:val="28"/>
          <w:highlight w:val="none"/>
        </w:rPr>
      </w:pPr>
      <w:r>
        <w:rPr>
          <w:rFonts w:hint="eastAsia" w:ascii="仿宋" w:hAnsi="仿宋" w:eastAsia="仿宋" w:cs="仿宋"/>
          <w:bCs/>
          <w:snapToGrid w:val="0"/>
          <w:kern w:val="0"/>
          <w:sz w:val="28"/>
          <w:szCs w:val="28"/>
          <w:highlight w:val="none"/>
        </w:rPr>
        <w:t>2.6 项目规模：</w:t>
      </w:r>
      <w:r>
        <w:rPr>
          <w:rFonts w:hint="eastAsia" w:ascii="仿宋" w:hAnsi="仿宋" w:eastAsia="仿宋" w:cs="仿宋"/>
          <w:spacing w:val="-1"/>
          <w:sz w:val="28"/>
          <w:szCs w:val="28"/>
          <w:highlight w:val="none"/>
        </w:rPr>
        <w:t>巢湖市城区市政道路维修、桥梁及其附属设施日常维修及道路挖掘修复、抢修、热线类处置、应急保障等工作。</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2.7 项目投资估算：720万元</w:t>
      </w:r>
    </w:p>
    <w:p>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bCs/>
          <w:snapToGrid w:val="0"/>
          <w:kern w:val="0"/>
          <w:sz w:val="28"/>
          <w:szCs w:val="28"/>
          <w:highlight w:val="none"/>
        </w:rPr>
        <w:t>2.8 服务期限：</w:t>
      </w:r>
      <w:r>
        <w:rPr>
          <w:rFonts w:hint="eastAsia" w:ascii="仿宋" w:hAnsi="仿宋" w:eastAsia="仿宋" w:cs="仿宋"/>
          <w:sz w:val="28"/>
          <w:szCs w:val="28"/>
          <w:highlight w:val="none"/>
        </w:rPr>
        <w:t>自合同签订之日起一年，服务期结束后，在年度预算能保障的前提下，经招标人年度考核合格后，双方可续签订下一年度合同，续签时间累计不超过一年，续签中标费率不变。（续签合同金额视2023年财政局下达的城维费预算而定，业主有调整的权利）</w:t>
      </w:r>
    </w:p>
    <w:p>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当出现以下因素时，招标人有权随时终止合同，中标人不得以任何理由提出索赔要求：（1）服务期未结束但费用超出预算；（2）因机构改革等政策性调整；（3）因中标人原因发生安全事故；（4）中标人不服从采购人正常养护任务安排，造成工期逾期达到三次；或中标人两次超时上报决算资料；或未按时发放农民工工资，出现上访维权等行为；（5）中标人未按照投标承诺要求配置相应人员且拒不整改；（6）在履约过程中，存在偷工减料、以次充好，虚报工程量、弄虚作假等行为的；（7）对项目进行违法分包、转包。</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2.9招标范围：本次招标范围为巢湖市城区市政道路维修、桥梁及其附属设施日常维修及道路挖掘修复、抢修、热线类处置、应急保障等工作。具体内容详见招标文件、工程量清单、图纸以及补充答疑文件全部内容。</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2.10 项目类别：工程服务</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2.11 其他：本项目采用费率形式报价，按招标人给定的全费用综合单价综合考虑其投标费率，即投标费率不得大于或等于100%。</w:t>
      </w:r>
    </w:p>
    <w:p>
      <w:pPr>
        <w:snapToGrid w:val="0"/>
        <w:spacing w:line="56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3. 投标人资格要求</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3.1 投标人资质要求：</w:t>
      </w:r>
      <w:r>
        <w:rPr>
          <w:rFonts w:hint="eastAsia" w:ascii="仿宋" w:hAnsi="仿宋" w:eastAsia="仿宋" w:cs="仿宋"/>
          <w:spacing w:val="2"/>
          <w:sz w:val="28"/>
          <w:szCs w:val="28"/>
          <w:highlight w:val="none"/>
        </w:rPr>
        <w:t>投标人须具有市政公用工程施工总承包三级及以上资质</w:t>
      </w:r>
      <w:r>
        <w:rPr>
          <w:rFonts w:hint="eastAsia" w:ascii="仿宋" w:hAnsi="仿宋" w:eastAsia="仿宋" w:cs="仿宋"/>
          <w:spacing w:val="5"/>
          <w:sz w:val="28"/>
          <w:szCs w:val="28"/>
          <w:highlight w:val="none"/>
        </w:rPr>
        <w:t>。</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3.2 投标人业绩要求：/</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3.3 项目经理资格要求：投标人拟委任项目经理须具备市政公用工程专业二级及以上注册建造师资格，具备有效的安全生产考核合格证书，且目前未在其他项目上任职或虽在其他项目上任职但本项目中标后能够从该项目撤离。</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3.4 项目经理业绩要求：/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3.5 投标人财务要求：/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3.6 投标人须符合下列情形之一：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（1)开标日前两年内未被合肥市及其所辖县（市）公共资源交易监督管理机构记不良行为记录或记不良行为记录累计未满10分的。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（2)最近一次被合肥市及其所辖县（市）公共资源交易监督管理机构记不良行为记录累计记分达10分(含10分)到15分且公布日距开标日超过6个月。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（3)最近一次被合肥市及其所辖县（市）公共资源交易监督管理机构记不良行为记录累计记分达15分(含15分)到20分且公布日距开标日超过12个月。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（4)最近一次被合肥市及其所辖县（市）公共资源交易监督管理机构记不良行为记录累计记分达20分(含20分)及以上且公布日距开标日超过24个月。</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3.7 本次招标不接受联合体投标。</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3.8 其他要求：/。</w:t>
      </w:r>
    </w:p>
    <w:p>
      <w:pPr>
        <w:snapToGrid w:val="0"/>
        <w:spacing w:line="56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4.招标文件的获取</w:t>
      </w:r>
    </w:p>
    <w:p>
      <w:pPr>
        <w:snapToGrid w:val="0"/>
        <w:spacing w:line="560" w:lineRule="exact"/>
        <w:ind w:firstLine="560" w:firstLineChars="200"/>
        <w:rPr>
          <w:rFonts w:hint="eastAsia" w:ascii="仿宋" w:hAnsi="仿宋" w:eastAsia="仿宋" w:cs="仿宋"/>
          <w:b/>
          <w:bCs/>
          <w:snapToGrid w:val="0"/>
          <w:kern w:val="0"/>
          <w:sz w:val="28"/>
          <w:szCs w:val="28"/>
          <w:highlight w:val="none"/>
        </w:rPr>
      </w:pPr>
      <w:r>
        <w:rPr>
          <w:rFonts w:hint="eastAsia" w:ascii="仿宋" w:hAnsi="仿宋" w:eastAsia="仿宋" w:cs="仿宋"/>
          <w:bCs/>
          <w:snapToGrid w:val="0"/>
          <w:kern w:val="0"/>
          <w:sz w:val="28"/>
          <w:szCs w:val="28"/>
          <w:highlight w:val="none"/>
        </w:rPr>
        <w:t>4.1 获取时间：</w:t>
      </w:r>
      <w:r>
        <w:rPr>
          <w:rFonts w:hint="eastAsia" w:ascii="仿宋" w:hAnsi="仿宋" w:eastAsia="仿宋" w:cs="仿宋"/>
          <w:b/>
          <w:bCs/>
          <w:snapToGrid w:val="0"/>
          <w:kern w:val="0"/>
          <w:sz w:val="28"/>
          <w:szCs w:val="28"/>
          <w:highlight w:val="none"/>
        </w:rPr>
        <w:t>2022年2月</w:t>
      </w:r>
      <w:r>
        <w:rPr>
          <w:rFonts w:hint="eastAsia" w:ascii="仿宋" w:hAnsi="仿宋" w:eastAsia="仿宋" w:cs="仿宋"/>
          <w:b/>
          <w:bCs/>
          <w:snapToGrid w:val="0"/>
          <w:kern w:val="0"/>
          <w:sz w:val="28"/>
          <w:szCs w:val="28"/>
          <w:highlight w:val="none"/>
          <w:lang w:val="en-US" w:eastAsia="zh-CN"/>
        </w:rPr>
        <w:t>26</w:t>
      </w:r>
      <w:r>
        <w:rPr>
          <w:rFonts w:hint="eastAsia" w:ascii="仿宋" w:hAnsi="仿宋" w:eastAsia="仿宋" w:cs="仿宋"/>
          <w:b/>
          <w:bCs/>
          <w:snapToGrid w:val="0"/>
          <w:kern w:val="0"/>
          <w:sz w:val="28"/>
          <w:szCs w:val="28"/>
          <w:highlight w:val="none"/>
        </w:rPr>
        <w:t>日至2022年3月</w:t>
      </w:r>
      <w:r>
        <w:rPr>
          <w:rFonts w:hint="eastAsia" w:ascii="仿宋" w:hAnsi="仿宋" w:eastAsia="仿宋" w:cs="仿宋"/>
          <w:b/>
          <w:bCs/>
          <w:snapToGrid w:val="0"/>
          <w:kern w:val="0"/>
          <w:sz w:val="28"/>
          <w:szCs w:val="28"/>
          <w:highlight w:val="none"/>
          <w:lang w:val="en-US" w:eastAsia="zh-CN"/>
        </w:rPr>
        <w:t>12</w:t>
      </w:r>
      <w:r>
        <w:rPr>
          <w:rFonts w:hint="eastAsia" w:ascii="仿宋" w:hAnsi="仿宋" w:eastAsia="仿宋" w:cs="仿宋"/>
          <w:b/>
          <w:bCs/>
          <w:snapToGrid w:val="0"/>
          <w:kern w:val="0"/>
          <w:sz w:val="28"/>
          <w:szCs w:val="28"/>
          <w:highlight w:val="none"/>
        </w:rPr>
        <w:t>日。</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4.2 获取方式：</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（1）潜在投标人须登录安徽合肥公共资源交易电子服务系统（以下简称“电子服务系统”）查阅招标文件。首次登录须持有与电子服务系统兼容的数字证书，详情参见电子服务系统办事指南。</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（2）潜在投标人可通过安徽（区域）公共资源交易电子交易服务系统查阅招标文件，如参与投标，则还须在本条第1款规定的招标文件获取时间内支付招标文件费用，逾期系统自动关闭。</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（3）招标文件费用支付：无需支付。</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（4）招标文件获取过程中有任何疑问，请在工作时间（8：00-17：30，节假日休息）拨打技术支持热线（非项目咨询）：4009980000。项目咨询请拨打电话：15956076377。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4.3 招标文件价格：0元。</w:t>
      </w:r>
    </w:p>
    <w:p>
      <w:pPr>
        <w:snapToGrid w:val="0"/>
        <w:spacing w:line="56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5. 投标文件的递交</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投标文件递交的截止时间（投标截止时间，下同）为</w:t>
      </w:r>
      <w:r>
        <w:rPr>
          <w:rFonts w:hint="eastAsia" w:ascii="仿宋" w:hAnsi="仿宋" w:eastAsia="仿宋" w:cs="仿宋"/>
          <w:b/>
          <w:bCs/>
          <w:snapToGrid w:val="0"/>
          <w:kern w:val="0"/>
          <w:sz w:val="28"/>
          <w:szCs w:val="28"/>
          <w:highlight w:val="none"/>
        </w:rPr>
        <w:t xml:space="preserve"> 2022 年3月</w:t>
      </w:r>
      <w:r>
        <w:rPr>
          <w:rFonts w:hint="eastAsia" w:ascii="仿宋" w:hAnsi="仿宋" w:eastAsia="仿宋" w:cs="仿宋"/>
          <w:b/>
          <w:bCs/>
          <w:snapToGrid w:val="0"/>
          <w:kern w:val="0"/>
          <w:sz w:val="28"/>
          <w:szCs w:val="28"/>
          <w:highlight w:val="none"/>
          <w:lang w:val="en-US" w:eastAsia="zh-CN"/>
        </w:rPr>
        <w:t>18</w:t>
      </w:r>
      <w:r>
        <w:rPr>
          <w:rFonts w:hint="eastAsia" w:ascii="仿宋" w:hAnsi="仿宋" w:eastAsia="仿宋" w:cs="仿宋"/>
          <w:b/>
          <w:bCs/>
          <w:snapToGrid w:val="0"/>
          <w:kern w:val="0"/>
          <w:sz w:val="28"/>
          <w:szCs w:val="28"/>
          <w:highlight w:val="none"/>
        </w:rPr>
        <w:t>日9时00分</w:t>
      </w:r>
      <w:r>
        <w:rPr>
          <w:rFonts w:hint="eastAsia" w:ascii="仿宋" w:hAnsi="仿宋" w:eastAsia="仿宋" w:cs="仿宋"/>
          <w:bCs/>
          <w:snapToGrid w:val="0"/>
          <w:kern w:val="0"/>
          <w:sz w:val="28"/>
          <w:szCs w:val="28"/>
          <w:highlight w:val="none"/>
        </w:rPr>
        <w:t>，投标人应在截止时间前通过 全国公共资源交易平台（安徽省•合肥市）（安徽合肥公共资源交易中心电子交易系统）递交电子投标文件。</w:t>
      </w:r>
    </w:p>
    <w:p>
      <w:pPr>
        <w:snapToGrid w:val="0"/>
        <w:spacing w:line="56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6.开标时间及地点</w:t>
      </w:r>
    </w:p>
    <w:p>
      <w:pPr>
        <w:snapToGrid w:val="0"/>
        <w:spacing w:line="560" w:lineRule="exact"/>
        <w:ind w:firstLine="560" w:firstLineChars="200"/>
        <w:rPr>
          <w:rFonts w:hint="eastAsia" w:ascii="仿宋" w:hAnsi="仿宋" w:eastAsia="仿宋" w:cs="仿宋"/>
          <w:b/>
          <w:bCs/>
          <w:snapToGrid w:val="0"/>
          <w:kern w:val="0"/>
          <w:sz w:val="28"/>
          <w:szCs w:val="28"/>
          <w:highlight w:val="none"/>
        </w:rPr>
      </w:pPr>
      <w:r>
        <w:rPr>
          <w:rFonts w:hint="eastAsia" w:ascii="仿宋" w:hAnsi="仿宋" w:eastAsia="仿宋" w:cs="仿宋"/>
          <w:bCs/>
          <w:snapToGrid w:val="0"/>
          <w:kern w:val="0"/>
          <w:sz w:val="28"/>
          <w:szCs w:val="28"/>
          <w:highlight w:val="none"/>
        </w:rPr>
        <w:t>6.1 开标时间：</w:t>
      </w:r>
      <w:r>
        <w:rPr>
          <w:rFonts w:hint="eastAsia" w:ascii="仿宋" w:hAnsi="仿宋" w:eastAsia="仿宋" w:cs="仿宋"/>
          <w:b/>
          <w:bCs/>
          <w:snapToGrid w:val="0"/>
          <w:kern w:val="0"/>
          <w:sz w:val="28"/>
          <w:szCs w:val="28"/>
          <w:highlight w:val="none"/>
        </w:rPr>
        <w:t>2022年3月</w:t>
      </w:r>
      <w:r>
        <w:rPr>
          <w:rFonts w:hint="eastAsia" w:ascii="仿宋" w:hAnsi="仿宋" w:eastAsia="仿宋" w:cs="仿宋"/>
          <w:b/>
          <w:bCs/>
          <w:snapToGrid w:val="0"/>
          <w:kern w:val="0"/>
          <w:sz w:val="28"/>
          <w:szCs w:val="28"/>
          <w:highlight w:val="none"/>
          <w:lang w:val="en-US" w:eastAsia="zh-CN"/>
        </w:rPr>
        <w:t>18</w:t>
      </w:r>
      <w:r>
        <w:rPr>
          <w:rFonts w:hint="eastAsia" w:ascii="仿宋" w:hAnsi="仿宋" w:eastAsia="仿宋" w:cs="仿宋"/>
          <w:b/>
          <w:bCs/>
          <w:snapToGrid w:val="0"/>
          <w:kern w:val="0"/>
          <w:sz w:val="28"/>
          <w:szCs w:val="28"/>
          <w:highlight w:val="none"/>
        </w:rPr>
        <w:t xml:space="preserve">日9时00分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6.2 开标地点：巢湖市公共资源交易中心一楼开标</w:t>
      </w:r>
      <w:r>
        <w:rPr>
          <w:rFonts w:hint="eastAsia" w:ascii="仿宋" w:hAnsi="仿宋" w:eastAsia="仿宋" w:cs="仿宋"/>
          <w:bCs/>
          <w:snapToGrid w:val="0"/>
          <w:kern w:val="0"/>
          <w:sz w:val="28"/>
          <w:szCs w:val="28"/>
          <w:highlight w:val="none"/>
          <w:lang w:val="en-US" w:eastAsia="zh-CN"/>
        </w:rPr>
        <w:t>3</w:t>
      </w:r>
      <w:r>
        <w:rPr>
          <w:rFonts w:hint="eastAsia" w:ascii="仿宋" w:hAnsi="仿宋" w:eastAsia="仿宋" w:cs="仿宋"/>
          <w:bCs/>
          <w:snapToGrid w:val="0"/>
          <w:kern w:val="0"/>
          <w:sz w:val="28"/>
          <w:szCs w:val="28"/>
          <w:highlight w:val="none"/>
        </w:rPr>
        <w:t>室（太湖山路市党校原办公楼，阳光花园小区大门对面）。</w:t>
      </w:r>
    </w:p>
    <w:p>
      <w:pPr>
        <w:snapToGrid w:val="0"/>
        <w:spacing w:line="56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7. 发布公告的媒介</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本次招标公告同时在安徽合肥公共资源交易中心网、安徽省招标投标信息网、安徽省公共资源交易监管网上发布。</w:t>
      </w:r>
    </w:p>
    <w:p>
      <w:pPr>
        <w:snapToGrid w:val="0"/>
        <w:spacing w:line="56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8.联系方式</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8.1 招标人</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招 标 人：巢湖市市政管理处</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地    址：</w:t>
      </w:r>
      <w:r>
        <w:rPr>
          <w:rFonts w:hint="eastAsia" w:ascii="仿宋" w:hAnsi="仿宋" w:eastAsia="仿宋" w:cs="仿宋"/>
          <w:spacing w:val="-52"/>
          <w:sz w:val="28"/>
          <w:szCs w:val="28"/>
          <w:highlight w:val="none"/>
        </w:rPr>
        <w:t xml:space="preserve"> </w:t>
      </w:r>
      <w:r>
        <w:rPr>
          <w:rFonts w:hint="eastAsia" w:ascii="仿宋" w:hAnsi="仿宋" w:eastAsia="仿宋" w:cs="仿宋"/>
          <w:kern w:val="0"/>
          <w:sz w:val="28"/>
          <w:szCs w:val="28"/>
          <w:highlight w:val="none"/>
        </w:rPr>
        <w:t>巢湖市世纪大道富达花园1号楼</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邮    编：238000</w:t>
      </w:r>
    </w:p>
    <w:p>
      <w:pPr>
        <w:snapToGrid w:val="0"/>
        <w:spacing w:line="560" w:lineRule="exact"/>
        <w:ind w:firstLine="560" w:firstLineChars="200"/>
        <w:rPr>
          <w:rFonts w:hint="default" w:ascii="仿宋" w:hAnsi="仿宋" w:eastAsia="仿宋" w:cs="仿宋"/>
          <w:bCs/>
          <w:snapToGrid w:val="0"/>
          <w:kern w:val="0"/>
          <w:sz w:val="28"/>
          <w:szCs w:val="28"/>
          <w:highlight w:val="none"/>
          <w:lang w:val="en-US" w:eastAsia="zh-CN"/>
        </w:rPr>
      </w:pPr>
      <w:r>
        <w:rPr>
          <w:rFonts w:hint="eastAsia" w:ascii="仿宋" w:hAnsi="仿宋" w:eastAsia="仿宋" w:cs="仿宋"/>
          <w:bCs/>
          <w:snapToGrid w:val="0"/>
          <w:kern w:val="0"/>
          <w:sz w:val="28"/>
          <w:szCs w:val="28"/>
          <w:highlight w:val="none"/>
        </w:rPr>
        <w:t>联 系 人：杨</w:t>
      </w:r>
      <w:r>
        <w:rPr>
          <w:rFonts w:hint="eastAsia" w:ascii="仿宋" w:hAnsi="仿宋" w:eastAsia="仿宋" w:cs="仿宋"/>
          <w:bCs/>
          <w:snapToGrid w:val="0"/>
          <w:kern w:val="0"/>
          <w:sz w:val="28"/>
          <w:szCs w:val="28"/>
          <w:highlight w:val="none"/>
          <w:lang w:val="en-US" w:eastAsia="zh-CN"/>
        </w:rPr>
        <w:t>训娟</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电    话： 0551-82631145</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8.2 招标代理机构</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代理机构：安徽邦成建设管理有限公司</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地    址：巢湖市四海花园20号楼2单元501室</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邮    编：238000</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联 系 人：章翠萍</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电    话：15956076377</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8.3 电子交易系统</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电子交易系统名称：安徽合肥公共资源交易中心电子交易系统</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电子交易系统电话：</w:t>
      </w:r>
      <w:r>
        <w:rPr>
          <w:rFonts w:hint="eastAsia" w:ascii="仿宋" w:hAnsi="仿宋" w:eastAsia="仿宋"/>
          <w:sz w:val="28"/>
          <w:szCs w:val="28"/>
          <w:highlight w:val="none"/>
        </w:rPr>
        <w:t>4009980000</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8.4 电子服务系统</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电子服务系统名称：安徽合肥公共资源交易中心电子服务系统</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电子服务系统电话：0551-12345</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8.5 招标监督管理机构</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招标监督管理机构：巢湖市发展和改革委员会</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地    址：巢湖市太湖山路市党校原办公楼，阳光花园小区大门对面</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电    话：0551－82339290</w:t>
      </w:r>
    </w:p>
    <w:p>
      <w:pPr>
        <w:snapToGrid w:val="0"/>
        <w:spacing w:line="56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9.其他事项说明</w:t>
      </w:r>
    </w:p>
    <w:p>
      <w:pPr>
        <w:snapToGrid w:val="0"/>
        <w:spacing w:line="560" w:lineRule="exact"/>
        <w:ind w:firstLine="560" w:firstLineChars="200"/>
        <w:rPr>
          <w:rFonts w:hint="eastAsia" w:ascii="仿宋" w:hAnsi="仿宋" w:eastAsia="仿宋" w:cs="仿宋"/>
          <w:bCs/>
          <w:snapToGrid w:val="0"/>
          <w:kern w:val="0"/>
          <w:sz w:val="28"/>
          <w:szCs w:val="28"/>
          <w:highlight w:val="none"/>
        </w:rPr>
      </w:pPr>
      <w:bookmarkStart w:id="0" w:name="_Toc460660056"/>
      <w:bookmarkStart w:id="1" w:name="_Toc471819491"/>
      <w:bookmarkStart w:id="2" w:name="_Toc460226983"/>
      <w:bookmarkStart w:id="3" w:name="_Toc460226714"/>
      <w:r>
        <w:rPr>
          <w:rFonts w:hint="eastAsia" w:ascii="仿宋" w:hAnsi="仿宋" w:eastAsia="仿宋" w:cs="仿宋"/>
          <w:bCs/>
          <w:snapToGrid w:val="0"/>
          <w:kern w:val="0"/>
          <w:sz w:val="28"/>
          <w:szCs w:val="28"/>
          <w:highlight w:val="none"/>
        </w:rPr>
        <w:t>9.1投标人应合理安排招标文件获取及缴费时间，特别是网络速度慢的地区防止在招标文件获取时间结束前网络拥堵无法操作。如果因计算机及网络故障造成无法成功获取招标文件及缴费，责任自负。</w:t>
      </w:r>
    </w:p>
    <w:bookmarkEnd w:id="0"/>
    <w:bookmarkEnd w:id="1"/>
    <w:bookmarkEnd w:id="2"/>
    <w:bookmarkEnd w:id="3"/>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 xml:space="preserve">9.2 有任何疑问或问题，请在工作时间（周一至周五，上午9:00-12:00，下午13:30-17:30，节假日休息）与项目联系人联系。 </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9.3 疫情期间，各市场主体均应当按照《安徽合肥公共资源交易中心疫情防控期间交易服务指南》开展公共资源交易活动，谢谢理解、支持。（官网链接：</w:t>
      </w:r>
    </w:p>
    <w:p>
      <w:pPr>
        <w:snapToGrid w:val="0"/>
        <w:spacing w:line="560" w:lineRule="exact"/>
        <w:ind w:firstLine="560" w:firstLineChars="200"/>
        <w:rPr>
          <w:rFonts w:hint="eastAsia"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fldChar w:fldCharType="begin"/>
      </w:r>
      <w:r>
        <w:rPr>
          <w:rFonts w:hint="eastAsia" w:ascii="仿宋" w:hAnsi="仿宋" w:eastAsia="仿宋" w:cs="仿宋"/>
          <w:bCs/>
          <w:snapToGrid w:val="0"/>
          <w:kern w:val="0"/>
          <w:sz w:val="28"/>
          <w:szCs w:val="28"/>
          <w:highlight w:val="none"/>
        </w:rPr>
        <w:instrText xml:space="preserve"> HYPERLINK "http://ggzy.hefei.gov.cn/ptdt/001003/20200224/788cc287-e9f2-44de-b9e6-85baf0fb4c36.html"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bCs/>
          <w:snapToGrid w:val="0"/>
          <w:kern w:val="0"/>
          <w:sz w:val="28"/>
          <w:szCs w:val="28"/>
          <w:highlight w:val="none"/>
        </w:rPr>
        <w:t>http://ggzy.hefei.gov.cn/ptdt/001003/20200224/788cc287-e9f2-44de-b9e6-85baf0fb4c36.html</w:t>
      </w:r>
      <w:r>
        <w:rPr>
          <w:rFonts w:hint="eastAsia" w:ascii="仿宋" w:hAnsi="仿宋" w:eastAsia="仿宋" w:cs="仿宋"/>
          <w:bCs/>
          <w:snapToGrid w:val="0"/>
          <w:kern w:val="0"/>
          <w:sz w:val="28"/>
          <w:szCs w:val="28"/>
          <w:highlight w:val="none"/>
        </w:rPr>
        <w:fldChar w:fldCharType="end"/>
      </w:r>
      <w:r>
        <w:rPr>
          <w:rFonts w:hint="eastAsia" w:ascii="仿宋" w:hAnsi="仿宋" w:eastAsia="仿宋" w:cs="仿宋"/>
          <w:bCs/>
          <w:snapToGrid w:val="0"/>
          <w:kern w:val="0"/>
          <w:sz w:val="28"/>
          <w:szCs w:val="28"/>
          <w:highlight w:val="none"/>
        </w:rPr>
        <w:t>）。</w:t>
      </w:r>
    </w:p>
    <w:p>
      <w:pPr>
        <w:snapToGrid w:val="0"/>
        <w:spacing w:line="560" w:lineRule="exact"/>
        <w:rPr>
          <w:rFonts w:hint="eastAsia" w:ascii="仿宋" w:hAnsi="仿宋" w:eastAsia="仿宋" w:cs="仿宋"/>
          <w:bCs/>
          <w:kern w:val="0"/>
          <w:sz w:val="28"/>
          <w:szCs w:val="28"/>
          <w:highlight w:val="none"/>
        </w:rPr>
      </w:pPr>
      <w:r>
        <w:rPr>
          <w:rFonts w:hint="eastAsia" w:ascii="黑体" w:hAnsi="黑体" w:eastAsia="黑体" w:cs="黑体"/>
          <w:b/>
          <w:sz w:val="28"/>
          <w:szCs w:val="28"/>
          <w:highlight w:val="none"/>
        </w:rPr>
        <w:t>10.投标保证金账户</w:t>
      </w:r>
      <w:r>
        <w:rPr>
          <w:rFonts w:hint="eastAsia" w:ascii="仿宋" w:hAnsi="仿宋" w:eastAsia="仿宋" w:cs="仿宋"/>
          <w:bCs/>
          <w:kern w:val="0"/>
          <w:sz w:val="28"/>
          <w:szCs w:val="28"/>
          <w:highlight w:val="none"/>
        </w:rPr>
        <w:t>（如采用银行转账或银行电汇方式提交的，请选择以下任何一家银行递交即可）：</w:t>
      </w:r>
    </w:p>
    <w:tbl>
      <w:tblPr>
        <w:tblStyle w:val="2"/>
        <w:tblW w:w="5890" w:type="dxa"/>
        <w:tblInd w:w="-10" w:type="dxa"/>
        <w:tblLayout w:type="fixed"/>
        <w:tblCellMar>
          <w:top w:w="0" w:type="dxa"/>
          <w:left w:w="0" w:type="dxa"/>
          <w:bottom w:w="0" w:type="dxa"/>
          <w:right w:w="0" w:type="dxa"/>
        </w:tblCellMar>
      </w:tblPr>
      <w:tblGrid>
        <w:gridCol w:w="1165"/>
        <w:gridCol w:w="4725"/>
      </w:tblGrid>
      <w:tr>
        <w:tblPrEx>
          <w:tblCellMar>
            <w:top w:w="0" w:type="dxa"/>
            <w:left w:w="0" w:type="dxa"/>
            <w:bottom w:w="0" w:type="dxa"/>
            <w:right w:w="0" w:type="dxa"/>
          </w:tblCellMar>
        </w:tblPrEx>
        <w:trPr>
          <w:trHeight w:val="437" w:hRule="atLeast"/>
        </w:trPr>
        <w:tc>
          <w:tcPr>
            <w:tcW w:w="589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兴业银行</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户名</w:t>
            </w:r>
          </w:p>
        </w:tc>
        <w:tc>
          <w:tcPr>
            <w:tcW w:w="4725"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巢湖市公共资源交易中心</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账号</w:t>
            </w:r>
          </w:p>
        </w:tc>
        <w:tc>
          <w:tcPr>
            <w:tcW w:w="4725"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bCs/>
                <w:snapToGrid w:val="0"/>
                <w:kern w:val="0"/>
                <w:sz w:val="28"/>
                <w:szCs w:val="28"/>
                <w:highlight w:val="none"/>
                <w:lang w:val="en-US" w:eastAsia="zh-CN"/>
              </w:rPr>
            </w:pPr>
            <w:r>
              <w:rPr>
                <w:rFonts w:hint="eastAsia" w:ascii="仿宋" w:hAnsi="仿宋" w:eastAsia="仿宋" w:cs="宋体"/>
                <w:bCs/>
                <w:snapToGrid w:val="0"/>
                <w:kern w:val="0"/>
                <w:sz w:val="28"/>
                <w:szCs w:val="28"/>
                <w:highlight w:val="none"/>
                <w:lang w:val="en-US" w:eastAsia="zh-CN"/>
              </w:rPr>
              <w:t>499510100100041655018559</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开户银行</w:t>
            </w:r>
          </w:p>
        </w:tc>
        <w:tc>
          <w:tcPr>
            <w:tcW w:w="4725"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兴业银行股份有限公司巢湖支行</w:t>
            </w:r>
          </w:p>
        </w:tc>
      </w:tr>
    </w:tbl>
    <w:p>
      <w:pPr>
        <w:jc w:val="center"/>
        <w:rPr>
          <w:rFonts w:hint="eastAsia" w:ascii="仿宋" w:hAnsi="仿宋" w:eastAsia="仿宋"/>
          <w:sz w:val="28"/>
          <w:szCs w:val="28"/>
          <w:highlight w:val="none"/>
        </w:rPr>
      </w:pPr>
    </w:p>
    <w:tbl>
      <w:tblPr>
        <w:tblStyle w:val="2"/>
        <w:tblW w:w="5890" w:type="dxa"/>
        <w:tblInd w:w="-10" w:type="dxa"/>
        <w:tblLayout w:type="fixed"/>
        <w:tblCellMar>
          <w:top w:w="0" w:type="dxa"/>
          <w:left w:w="0" w:type="dxa"/>
          <w:bottom w:w="0" w:type="dxa"/>
          <w:right w:w="0" w:type="dxa"/>
        </w:tblCellMar>
      </w:tblPr>
      <w:tblGrid>
        <w:gridCol w:w="1165"/>
        <w:gridCol w:w="4725"/>
      </w:tblGrid>
      <w:tr>
        <w:tblPrEx>
          <w:tblCellMar>
            <w:top w:w="0" w:type="dxa"/>
            <w:left w:w="0" w:type="dxa"/>
            <w:bottom w:w="0" w:type="dxa"/>
            <w:right w:w="0" w:type="dxa"/>
          </w:tblCellMar>
        </w:tblPrEx>
        <w:trPr>
          <w:trHeight w:val="437" w:hRule="atLeast"/>
        </w:trPr>
        <w:tc>
          <w:tcPr>
            <w:tcW w:w="589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光大银行</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户名</w:t>
            </w:r>
          </w:p>
        </w:tc>
        <w:tc>
          <w:tcPr>
            <w:tcW w:w="4725"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巢湖市公共资源交易中心</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账号</w:t>
            </w:r>
          </w:p>
        </w:tc>
        <w:tc>
          <w:tcPr>
            <w:tcW w:w="4725"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bCs/>
                <w:snapToGrid w:val="0"/>
                <w:kern w:val="0"/>
                <w:sz w:val="28"/>
                <w:szCs w:val="28"/>
                <w:highlight w:val="none"/>
                <w:lang w:val="en-US" w:eastAsia="zh-CN"/>
              </w:rPr>
            </w:pPr>
            <w:r>
              <w:rPr>
                <w:rFonts w:hint="eastAsia" w:ascii="仿宋" w:hAnsi="仿宋" w:eastAsia="仿宋" w:cs="宋体"/>
                <w:bCs/>
                <w:snapToGrid w:val="0"/>
                <w:kern w:val="0"/>
                <w:sz w:val="28"/>
                <w:szCs w:val="28"/>
                <w:highlight w:val="none"/>
                <w:lang w:val="en-US" w:eastAsia="zh-CN"/>
              </w:rPr>
              <w:t>56960188000496996</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开户银行</w:t>
            </w:r>
          </w:p>
        </w:tc>
        <w:tc>
          <w:tcPr>
            <w:tcW w:w="4725"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中国光大银行股份有限公司巢湖支行</w:t>
            </w:r>
          </w:p>
        </w:tc>
      </w:tr>
    </w:tbl>
    <w:p>
      <w:pPr>
        <w:jc w:val="center"/>
        <w:rPr>
          <w:rFonts w:hint="eastAsia" w:ascii="仿宋" w:hAnsi="仿宋" w:eastAsia="仿宋"/>
          <w:sz w:val="28"/>
          <w:szCs w:val="28"/>
          <w:highlight w:val="none"/>
        </w:rPr>
      </w:pPr>
    </w:p>
    <w:tbl>
      <w:tblPr>
        <w:tblStyle w:val="2"/>
        <w:tblW w:w="5890" w:type="dxa"/>
        <w:tblInd w:w="-10" w:type="dxa"/>
        <w:tblLayout w:type="fixed"/>
        <w:tblCellMar>
          <w:top w:w="0" w:type="dxa"/>
          <w:left w:w="0" w:type="dxa"/>
          <w:bottom w:w="0" w:type="dxa"/>
          <w:right w:w="0" w:type="dxa"/>
        </w:tblCellMar>
      </w:tblPr>
      <w:tblGrid>
        <w:gridCol w:w="1165"/>
        <w:gridCol w:w="4725"/>
      </w:tblGrid>
      <w:tr>
        <w:tblPrEx>
          <w:tblCellMar>
            <w:top w:w="0" w:type="dxa"/>
            <w:left w:w="0" w:type="dxa"/>
            <w:bottom w:w="0" w:type="dxa"/>
            <w:right w:w="0" w:type="dxa"/>
          </w:tblCellMar>
        </w:tblPrEx>
        <w:trPr>
          <w:trHeight w:val="437" w:hRule="atLeast"/>
        </w:trPr>
        <w:tc>
          <w:tcPr>
            <w:tcW w:w="589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徽商银行</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户名</w:t>
            </w:r>
          </w:p>
        </w:tc>
        <w:tc>
          <w:tcPr>
            <w:tcW w:w="4725"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巢湖市公共资源交易中心</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账号</w:t>
            </w:r>
          </w:p>
        </w:tc>
        <w:tc>
          <w:tcPr>
            <w:tcW w:w="4725"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bCs/>
                <w:snapToGrid w:val="0"/>
                <w:kern w:val="0"/>
                <w:sz w:val="28"/>
                <w:szCs w:val="28"/>
                <w:highlight w:val="none"/>
                <w:lang w:val="en-US" w:eastAsia="zh-CN"/>
              </w:rPr>
            </w:pPr>
            <w:r>
              <w:rPr>
                <w:rFonts w:hint="eastAsia" w:ascii="仿宋" w:hAnsi="仿宋" w:eastAsia="仿宋" w:cs="宋体"/>
                <w:bCs/>
                <w:snapToGrid w:val="0"/>
                <w:kern w:val="0"/>
                <w:sz w:val="28"/>
                <w:szCs w:val="28"/>
                <w:highlight w:val="none"/>
                <w:lang w:val="en-US" w:eastAsia="zh-CN"/>
              </w:rPr>
              <w:t>2810101021000153825032887</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开户银行</w:t>
            </w:r>
          </w:p>
        </w:tc>
        <w:tc>
          <w:tcPr>
            <w:tcW w:w="4725"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徽商银行巢湖支行</w:t>
            </w:r>
          </w:p>
        </w:tc>
      </w:tr>
    </w:tbl>
    <w:p>
      <w:pPr>
        <w:jc w:val="center"/>
        <w:rPr>
          <w:rFonts w:hint="eastAsia" w:ascii="仿宋" w:hAnsi="仿宋" w:eastAsia="仿宋"/>
          <w:sz w:val="28"/>
          <w:szCs w:val="28"/>
          <w:highlight w:val="none"/>
        </w:rPr>
      </w:pPr>
    </w:p>
    <w:tbl>
      <w:tblPr>
        <w:tblStyle w:val="2"/>
        <w:tblW w:w="5890" w:type="dxa"/>
        <w:tblInd w:w="-10" w:type="dxa"/>
        <w:tblLayout w:type="fixed"/>
        <w:tblCellMar>
          <w:top w:w="0" w:type="dxa"/>
          <w:left w:w="0" w:type="dxa"/>
          <w:bottom w:w="0" w:type="dxa"/>
          <w:right w:w="0" w:type="dxa"/>
        </w:tblCellMar>
      </w:tblPr>
      <w:tblGrid>
        <w:gridCol w:w="1165"/>
        <w:gridCol w:w="4725"/>
      </w:tblGrid>
      <w:tr>
        <w:tblPrEx>
          <w:tblCellMar>
            <w:top w:w="0" w:type="dxa"/>
            <w:left w:w="0" w:type="dxa"/>
            <w:bottom w:w="0" w:type="dxa"/>
            <w:right w:w="0" w:type="dxa"/>
          </w:tblCellMar>
        </w:tblPrEx>
        <w:trPr>
          <w:trHeight w:val="437" w:hRule="atLeast"/>
        </w:trPr>
        <w:tc>
          <w:tcPr>
            <w:tcW w:w="589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工商银行</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户名</w:t>
            </w:r>
          </w:p>
        </w:tc>
        <w:tc>
          <w:tcPr>
            <w:tcW w:w="4725"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巢湖市公共资源交易中心</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账号</w:t>
            </w:r>
          </w:p>
        </w:tc>
        <w:tc>
          <w:tcPr>
            <w:tcW w:w="4725"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bCs/>
                <w:snapToGrid w:val="0"/>
                <w:kern w:val="0"/>
                <w:sz w:val="28"/>
                <w:szCs w:val="28"/>
                <w:highlight w:val="none"/>
                <w:lang w:val="en-US" w:eastAsia="zh-CN"/>
              </w:rPr>
            </w:pPr>
            <w:r>
              <w:rPr>
                <w:rFonts w:hint="eastAsia" w:ascii="仿宋" w:hAnsi="仿宋" w:eastAsia="仿宋" w:cs="宋体"/>
                <w:bCs/>
                <w:snapToGrid w:val="0"/>
                <w:kern w:val="0"/>
                <w:sz w:val="28"/>
                <w:szCs w:val="28"/>
                <w:highlight w:val="none"/>
                <w:lang w:val="en-US" w:eastAsia="zh-CN"/>
              </w:rPr>
              <w:t>1302068838003039437</w:t>
            </w:r>
          </w:p>
        </w:tc>
      </w:tr>
      <w:tr>
        <w:tblPrEx>
          <w:tblCellMar>
            <w:top w:w="0" w:type="dxa"/>
            <w:left w:w="0" w:type="dxa"/>
            <w:bottom w:w="0" w:type="dxa"/>
            <w:right w:w="0" w:type="dxa"/>
          </w:tblCellMar>
        </w:tblPrEx>
        <w:trPr>
          <w:trHeight w:val="437" w:hRule="atLeast"/>
        </w:trPr>
        <w:tc>
          <w:tcPr>
            <w:tcW w:w="116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开户银行</w:t>
            </w:r>
          </w:p>
        </w:tc>
        <w:tc>
          <w:tcPr>
            <w:tcW w:w="4725"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bCs/>
                <w:snapToGrid w:val="0"/>
                <w:kern w:val="0"/>
                <w:sz w:val="28"/>
                <w:szCs w:val="28"/>
                <w:highlight w:val="none"/>
              </w:rPr>
            </w:pPr>
            <w:r>
              <w:rPr>
                <w:rFonts w:hint="eastAsia" w:ascii="仿宋" w:hAnsi="仿宋" w:eastAsia="仿宋" w:cs="宋体"/>
                <w:bCs/>
                <w:snapToGrid w:val="0"/>
                <w:kern w:val="0"/>
                <w:sz w:val="28"/>
                <w:szCs w:val="28"/>
                <w:highlight w:val="none"/>
              </w:rPr>
              <w:t>中国工商银行股份有限公司巢湖支行</w:t>
            </w:r>
          </w:p>
        </w:tc>
      </w:tr>
    </w:tbl>
    <w:p>
      <w:pPr>
        <w:rPr>
          <w:rFonts w:hint="eastAsia"/>
          <w:highlight w:val="none"/>
        </w:rPr>
      </w:pPr>
      <w:r>
        <w:rPr>
          <w:rFonts w:ascii="微软雅黑" w:hAnsi="微软雅黑" w:eastAsia="微软雅黑" w:cs="微软雅黑"/>
          <w:i w:val="0"/>
          <w:iCs w:val="0"/>
          <w:caps w:val="0"/>
          <w:color w:val="333333"/>
          <w:spacing w:val="0"/>
          <w:sz w:val="22"/>
          <w:szCs w:val="22"/>
          <w:shd w:val="clear" w:fill="FFFFFF"/>
        </w:rPr>
        <w:t>（特别提醒:潜在投标人查阅招标文件后，如参与投标，则需按招标文件获取时间内通过相应电子交易系统完成投标信息的填写。）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D74CD"/>
    <w:rsid w:val="48BA559A"/>
    <w:rsid w:val="4F1B0EDE"/>
    <w:rsid w:val="6167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2022-02-24T08:57:00Z</dcterms:created>
  <dc:creator>王</dc:creator>
  <cp:lastModifiedBy>Vergil</cp:lastModifiedBy>
  <dcterms:modified xsi:type="dcterms:W3CDTF">2022-02-24T09:09:56Z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033E3765CABC4B1AAF62186CFC88A43C</vt:lpwstr>
  </property>
</Properties>
</file>